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220BE" w14:textId="77777777" w:rsidR="001F02D4" w:rsidRPr="001F02D4" w:rsidRDefault="001F02D4" w:rsidP="001F02D4">
      <w:pPr>
        <w:pStyle w:val="Titolo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ALLEGATO B</w:t>
      </w:r>
    </w:p>
    <w:p w14:paraId="5A7EE5F9" w14:textId="77777777" w:rsidR="001F02D4" w:rsidRPr="001F02D4" w:rsidRDefault="001F02D4" w:rsidP="001F02D4">
      <w:pPr>
        <w:pStyle w:val="Titolo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QUESTIONARIO TECNICO-ECONOMICO</w:t>
      </w:r>
    </w:p>
    <w:p w14:paraId="51497033" w14:textId="77777777" w:rsidR="001F02D4" w:rsidRPr="001F02D4" w:rsidRDefault="001F02D4" w:rsidP="001F02D4">
      <w:pPr>
        <w:pStyle w:val="Titolo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CONSULTAZIONE PRELIMINARE DI MERCATO</w:t>
      </w:r>
    </w:p>
    <w:p w14:paraId="09624034" w14:textId="77777777" w:rsidR="001F02D4" w:rsidRPr="001F02D4" w:rsidRDefault="001F02D4" w:rsidP="001F02D4">
      <w:pPr>
        <w:pStyle w:val="NormaleWeb"/>
        <w:jc w:val="center"/>
      </w:pPr>
      <w:r w:rsidRPr="001F02D4">
        <w:rPr>
          <w:rStyle w:val="Enfasigrassetto"/>
        </w:rPr>
        <w:t>relativa alla futura concessione per la progettazione esecutiva, fornitura, installazione, manutenzione ordinaria e straordinaria, gestione operativa e valorizzazione economica di elementi di arredo e decoro urbano con spazi pubblicitari sul territorio del Comune di Caivano</w:t>
      </w:r>
    </w:p>
    <w:p w14:paraId="1945BF0B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AVVERTENZE</w:t>
      </w:r>
    </w:p>
    <w:p w14:paraId="23BECCA9" w14:textId="77777777" w:rsidR="001F02D4" w:rsidRPr="001F02D4" w:rsidRDefault="001F02D4" w:rsidP="001F02D4">
      <w:pPr>
        <w:pStyle w:val="NormaleWeb"/>
      </w:pPr>
      <w:r w:rsidRPr="001F02D4">
        <w:t xml:space="preserve">Il presente questionario è predisposto nell'ambito della consultazione preliminare di mercato promossa dal Comune di Caivano ai sensi degli artt. 77 e 78 del </w:t>
      </w:r>
      <w:proofErr w:type="gramStart"/>
      <w:r w:rsidRPr="001F02D4">
        <w:t>D.Lgs</w:t>
      </w:r>
      <w:proofErr w:type="gramEnd"/>
      <w:r w:rsidRPr="001F02D4">
        <w:t>. 36/2023.</w:t>
      </w:r>
    </w:p>
    <w:p w14:paraId="69BE23B1" w14:textId="77777777" w:rsidR="001F02D4" w:rsidRPr="001F02D4" w:rsidRDefault="001F02D4" w:rsidP="001F02D4">
      <w:pPr>
        <w:pStyle w:val="NormaleWeb"/>
      </w:pPr>
      <w:r w:rsidRPr="001F02D4">
        <w:t>Il questionario è finalizzato esclusivamente ad acquisire dal mercato elementi conoscitivi utili alla corretta configurazione della futura procedura di affidamento e, in particolare, a verificare:</w:t>
      </w:r>
    </w:p>
    <w:p w14:paraId="3E6C3543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l'effettivo interesse degli operatori economici; </w:t>
      </w:r>
    </w:p>
    <w:p w14:paraId="58441DC3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la sostenibilità economico-finanziaria dell'operazione; </w:t>
      </w:r>
    </w:p>
    <w:p w14:paraId="48369430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l'adeguatezza della durata della concessione; </w:t>
      </w:r>
    </w:p>
    <w:p w14:paraId="70DFC0D0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la congruità dell'investimento richiesto; </w:t>
      </w:r>
    </w:p>
    <w:p w14:paraId="52F4E16D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la realisticità delle ipotesi di ricavo; </w:t>
      </w:r>
    </w:p>
    <w:p w14:paraId="1778E1CD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la sostenibilità delle dotazioni minime previste; </w:t>
      </w:r>
    </w:p>
    <w:p w14:paraId="137B28BA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eventuali criticità suscettibili di ridurre la partecipazione alla futura gara; </w:t>
      </w:r>
    </w:p>
    <w:p w14:paraId="76D62456" w14:textId="77777777" w:rsidR="001F02D4" w:rsidRPr="001F02D4" w:rsidRDefault="001F02D4" w:rsidP="001F02D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eventuali modifiche che possano incrementare la contendibilità dell'affidamento. </w:t>
      </w:r>
    </w:p>
    <w:p w14:paraId="103CDD00" w14:textId="77777777" w:rsidR="001F02D4" w:rsidRPr="001F02D4" w:rsidRDefault="001F02D4" w:rsidP="001F02D4">
      <w:pPr>
        <w:pStyle w:val="NormaleWeb"/>
      </w:pPr>
      <w:r w:rsidRPr="001F02D4">
        <w:t xml:space="preserve">Le risposte fornite </w:t>
      </w:r>
      <w:r w:rsidRPr="001F02D4">
        <w:rPr>
          <w:rStyle w:val="Enfasigrassetto"/>
        </w:rPr>
        <w:t>non costituiscono offerta tecnica o economica</w:t>
      </w:r>
      <w:r w:rsidRPr="001F02D4">
        <w:t>, proposta contrattuale o impegno negoziale e possono essere espresse anche mediante valori indicativi, intervalli, stime o ordini di grandezza.</w:t>
      </w:r>
    </w:p>
    <w:p w14:paraId="09F6EFE4" w14:textId="77777777" w:rsidR="001F02D4" w:rsidRPr="001F02D4" w:rsidRDefault="001F02D4" w:rsidP="001F02D4">
      <w:pPr>
        <w:pStyle w:val="NormaleWeb"/>
      </w:pPr>
      <w:r w:rsidRPr="001F02D4">
        <w:t>I dati e le indicazioni raccolte potranno essere utilizzati dall'Amministrazione esclusivamente ai fini della predisposizione della futura procedura di affidamento.</w:t>
      </w:r>
    </w:p>
    <w:p w14:paraId="615DBBB8" w14:textId="77777777" w:rsidR="001F02D4" w:rsidRPr="001F02D4" w:rsidRDefault="001F02D4" w:rsidP="001F02D4">
      <w:pPr>
        <w:pStyle w:val="NormaleWeb"/>
      </w:pPr>
      <w:r w:rsidRPr="001F02D4">
        <w:t>La compilazione del questionario non determina alcun diritto, aspettativa, preferenza o posizione di vantaggio nella futura procedura di gara.</w:t>
      </w:r>
    </w:p>
    <w:p w14:paraId="63F75D0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D5A5F48">
          <v:rect id="_x0000_i1025" style="width:0;height:1.5pt" o:hralign="center" o:hrstd="t" o:hr="t" fillcolor="#a0a0a0" stroked="f"/>
        </w:pict>
      </w:r>
    </w:p>
    <w:p w14:paraId="23B8D7EC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lastRenderedPageBreak/>
        <w:t>DATI DELL'OPERATORE ECONOMICO</w:t>
      </w:r>
    </w:p>
    <w:p w14:paraId="05402E50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Denominazione / Ragione sociale:</w:t>
      </w:r>
    </w:p>
    <w:p w14:paraId="0A3D61A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F060906">
          <v:rect id="_x0000_i1026" style="width:0;height:1.5pt" o:hralign="center" o:hrstd="t" o:hr="t" fillcolor="#a0a0a0" stroked="f"/>
        </w:pict>
      </w:r>
    </w:p>
    <w:p w14:paraId="6FD8B635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C.F. / P. IVA:</w:t>
      </w:r>
    </w:p>
    <w:p w14:paraId="67D30E55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5950A0B">
          <v:rect id="_x0000_i1027" style="width:0;height:1.5pt" o:hralign="center" o:hrstd="t" o:hr="t" fillcolor="#a0a0a0" stroked="f"/>
        </w:pict>
      </w:r>
    </w:p>
    <w:p w14:paraId="26D9AF1E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Sede legale:</w:t>
      </w:r>
    </w:p>
    <w:p w14:paraId="081FDC6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1AEF9D4">
          <v:rect id="_x0000_i1028" style="width:0;height:1.5pt" o:hralign="center" o:hrstd="t" o:hr="t" fillcolor="#a0a0a0" stroked="f"/>
        </w:pict>
      </w:r>
    </w:p>
    <w:p w14:paraId="49563DD8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PEC:</w:t>
      </w:r>
    </w:p>
    <w:p w14:paraId="0C8F61B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0B2E57A">
          <v:rect id="_x0000_i1029" style="width:0;height:1.5pt" o:hralign="center" o:hrstd="t" o:hr="t" fillcolor="#a0a0a0" stroked="f"/>
        </w:pict>
      </w:r>
    </w:p>
    <w:p w14:paraId="73A344B9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Referente per la consultazione:</w:t>
      </w:r>
    </w:p>
    <w:p w14:paraId="5990585A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A1A3A48">
          <v:rect id="_x0000_i1030" style="width:0;height:1.5pt" o:hralign="center" o:hrstd="t" o:hr="t" fillcolor="#a0a0a0" stroked="f"/>
        </w:pict>
      </w:r>
    </w:p>
    <w:p w14:paraId="119A6B4F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Telefono / e-mail:</w:t>
      </w:r>
    </w:p>
    <w:p w14:paraId="6C137DC7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B3AC882">
          <v:rect id="_x0000_i1031" style="width:0;height:1.5pt" o:hralign="center" o:hrstd="t" o:hr="t" fillcolor="#a0a0a0" stroked="f"/>
        </w:pict>
      </w:r>
    </w:p>
    <w:p w14:paraId="42CD317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92AD4D4">
          <v:rect id="_x0000_i1032" style="width:0;height:1.5pt" o:hralign="center" o:hrstd="t" o:hr="t" fillcolor="#a0a0a0" stroked="f"/>
        </w:pict>
      </w:r>
    </w:p>
    <w:p w14:paraId="54EF1A36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A. INTERESSE DEL MERCATO</w:t>
      </w:r>
    </w:p>
    <w:p w14:paraId="73CD791C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A.1 – Livello di interesse</w:t>
      </w:r>
    </w:p>
    <w:p w14:paraId="2CAC0BCD" w14:textId="77777777" w:rsidR="001F02D4" w:rsidRPr="001F02D4" w:rsidRDefault="001F02D4" w:rsidP="001F02D4">
      <w:pPr>
        <w:pStyle w:val="NormaleWeb"/>
      </w:pPr>
      <w:r w:rsidRPr="001F02D4">
        <w:t>Con riferimento alla configurazione preliminare dell'intervento descritta nella documentazione resa disponibile dal Comune, quale sarebbe il livello di interesse dell'operatore economico a valutare la partecipazione alla futura procedura di gara?</w:t>
      </w:r>
    </w:p>
    <w:p w14:paraId="5F4D8F3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Interesse concreto nella configurazione attuale</w:t>
      </w:r>
    </w:p>
    <w:p w14:paraId="3D7BFF5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Interesse concreto, subordinato ad alcune modifiche</w:t>
      </w:r>
    </w:p>
    <w:p w14:paraId="59001FB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</w:t>
      </w:r>
      <w:r w:rsidRPr="001F02D4">
        <w:rPr>
          <w:rStyle w:val="Enfasigrassetto"/>
        </w:rPr>
        <w:t>Interesse possibile, ma la configurazione necessita di una significativa revisione</w:t>
      </w:r>
    </w:p>
    <w:p w14:paraId="74CECC7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Interesse limitato</w:t>
      </w:r>
    </w:p>
    <w:p w14:paraId="3C8792AE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Nessun interesse nella configurazione attuale</w:t>
      </w:r>
    </w:p>
    <w:p w14:paraId="3812EAC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Non è possibile esprimere una valutazione con le informazioni attualmente disponibili</w:t>
      </w:r>
    </w:p>
    <w:p w14:paraId="48C5149B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A.2 – Motivazione</w:t>
      </w:r>
    </w:p>
    <w:p w14:paraId="4BB44903" w14:textId="77777777" w:rsidR="001F02D4" w:rsidRPr="001F02D4" w:rsidRDefault="001F02D4" w:rsidP="001F02D4">
      <w:pPr>
        <w:pStyle w:val="NormaleWeb"/>
      </w:pPr>
      <w:r w:rsidRPr="001F02D4">
        <w:t>Indicare sinteticamente le principali ragioni della risposta precedente:</w:t>
      </w:r>
    </w:p>
    <w:p w14:paraId="5E61D59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B33AC4C">
          <v:rect id="_x0000_i1033" style="width:0;height:1.5pt" o:hralign="center" o:hrstd="t" o:hr="t" fillcolor="#a0a0a0" stroked="f"/>
        </w:pict>
      </w:r>
    </w:p>
    <w:p w14:paraId="6A4C42CB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865ACEF">
          <v:rect id="_x0000_i1034" style="width:0;height:1.5pt" o:hralign="center" o:hrstd="t" o:hr="t" fillcolor="#a0a0a0" stroked="f"/>
        </w:pict>
      </w:r>
    </w:p>
    <w:p w14:paraId="0AAB5B6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FA8380B">
          <v:rect id="_x0000_i1035" style="width:0;height:1.5pt" o:hralign="center" o:hrstd="t" o:hr="t" fillcolor="#a0a0a0" stroked="f"/>
        </w:pict>
      </w:r>
    </w:p>
    <w:p w14:paraId="6ADD9F2F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37AFB81">
          <v:rect id="_x0000_i1036" style="width:0;height:1.5pt" o:hralign="center" o:hrstd="t" o:hr="t" fillcolor="#a0a0a0" stroked="f"/>
        </w:pict>
      </w:r>
    </w:p>
    <w:p w14:paraId="5330AD15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A.3 – Forma presumibile di partecipazione alla futura gara</w:t>
      </w:r>
    </w:p>
    <w:p w14:paraId="0D6CE4C2" w14:textId="77777777" w:rsidR="001F02D4" w:rsidRPr="001F02D4" w:rsidRDefault="001F02D4" w:rsidP="001F02D4">
      <w:pPr>
        <w:pStyle w:val="NormaleWeb"/>
      </w:pPr>
      <w:r w:rsidRPr="001F02D4">
        <w:t>In caso di indizione della procedura, l'operatore valuterebbe presumibilmente la partecipazione:</w:t>
      </w:r>
    </w:p>
    <w:p w14:paraId="2590B00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singolarmente;</w:t>
      </w:r>
    </w:p>
    <w:p w14:paraId="3ABEF12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 raggruppamento temporaneo di imprese;</w:t>
      </w:r>
    </w:p>
    <w:p w14:paraId="4A36973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mediante consorzio;</w:t>
      </w:r>
    </w:p>
    <w:p w14:paraId="2B53492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mediante altra forma aggregata;</w:t>
      </w:r>
    </w:p>
    <w:p w14:paraId="352B58C1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 definire in relazione agli atti di gara;</w:t>
      </w:r>
    </w:p>
    <w:p w14:paraId="5AF8C54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si esprime.</w:t>
      </w:r>
    </w:p>
    <w:p w14:paraId="14B5BEA4" w14:textId="77777777" w:rsidR="001F02D4" w:rsidRPr="001F02D4" w:rsidRDefault="001F02D4" w:rsidP="001F02D4">
      <w:pPr>
        <w:pStyle w:val="NormaleWeb"/>
      </w:pPr>
      <w:r w:rsidRPr="001F02D4">
        <w:t>Eventuali osservazioni:</w:t>
      </w:r>
    </w:p>
    <w:p w14:paraId="1B5F5EB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00F40EE">
          <v:rect id="_x0000_i1037" style="width:0;height:1.5pt" o:hralign="center" o:hrstd="t" o:hr="t" fillcolor="#a0a0a0" stroked="f"/>
        </w:pict>
      </w:r>
    </w:p>
    <w:p w14:paraId="34C2453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43AC5BA">
          <v:rect id="_x0000_i1038" style="width:0;height:1.5pt" o:hralign="center" o:hrstd="t" o:hr="t" fillcolor="#a0a0a0" stroked="f"/>
        </w:pict>
      </w:r>
    </w:p>
    <w:p w14:paraId="1BE7011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lastRenderedPageBreak/>
        <w:pict w14:anchorId="7DC02D2F">
          <v:rect id="_x0000_i1039" style="width:0;height:1.5pt" o:hralign="center" o:hrstd="t" o:hr="t" fillcolor="#a0a0a0" stroked="f"/>
        </w:pict>
      </w:r>
    </w:p>
    <w:p w14:paraId="08209CBB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B. SOSTENIBILITÀ ECONOMICO-FINANZIARIA</w:t>
      </w:r>
    </w:p>
    <w:p w14:paraId="66296435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B.1 – Durata della concessione</w:t>
      </w:r>
    </w:p>
    <w:p w14:paraId="5CF640E2" w14:textId="77777777" w:rsidR="001F02D4" w:rsidRPr="001F02D4" w:rsidRDefault="001F02D4" w:rsidP="001F02D4">
      <w:pPr>
        <w:pStyle w:val="NormaleWeb"/>
      </w:pPr>
      <w:r w:rsidRPr="001F02D4">
        <w:t xml:space="preserve">La durata preliminare della concessione, prevista in </w:t>
      </w:r>
      <w:r w:rsidRPr="001F02D4">
        <w:rPr>
          <w:rStyle w:val="Enfasigrassetto"/>
        </w:rPr>
        <w:t>6 anni</w:t>
      </w:r>
      <w:r w:rsidRPr="001F02D4">
        <w:t>, è ritenuta compatibile con:</w:t>
      </w:r>
    </w:p>
    <w:p w14:paraId="6E241310" w14:textId="77777777" w:rsidR="001F02D4" w:rsidRPr="001F02D4" w:rsidRDefault="001F02D4" w:rsidP="001F02D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il recupero dell'investimento iniziale; </w:t>
      </w:r>
    </w:p>
    <w:p w14:paraId="78FC3B67" w14:textId="77777777" w:rsidR="001F02D4" w:rsidRPr="001F02D4" w:rsidRDefault="001F02D4" w:rsidP="001F02D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la copertura dei costi di gestione; </w:t>
      </w:r>
    </w:p>
    <w:p w14:paraId="7F7FE283" w14:textId="77777777" w:rsidR="001F02D4" w:rsidRPr="001F02D4" w:rsidRDefault="001F02D4" w:rsidP="001F02D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il rischio operativo assunto dal concessionario; </w:t>
      </w:r>
    </w:p>
    <w:p w14:paraId="6821C4C8" w14:textId="77777777" w:rsidR="001F02D4" w:rsidRPr="001F02D4" w:rsidRDefault="001F02D4" w:rsidP="001F02D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t xml:space="preserve">una normale remunerazione del capitale investito? </w:t>
      </w:r>
    </w:p>
    <w:p w14:paraId="72871CF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Sì</w:t>
      </w:r>
    </w:p>
    <w:p w14:paraId="446F610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</w:t>
      </w:r>
    </w:p>
    <w:p w14:paraId="7FE980E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Solo a determinate condizioni</w:t>
      </w:r>
    </w:p>
    <w:p w14:paraId="3C0450A7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 con le informazioni disponibili</w:t>
      </w:r>
    </w:p>
    <w:p w14:paraId="0C96EC04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Durata ritenuta maggiormente adeguata, se diversa da 6 anni:</w:t>
      </w:r>
    </w:p>
    <w:p w14:paraId="14E904A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7 anni</w:t>
      </w:r>
      <w:r w:rsidRPr="001F02D4">
        <w:br/>
      </w:r>
      <w:r w:rsidRPr="001F02D4">
        <w:rPr>
          <w:rFonts w:ascii="Segoe UI Symbol" w:hAnsi="Segoe UI Symbol" w:cs="Segoe UI Symbol"/>
        </w:rPr>
        <w:t>☐</w:t>
      </w:r>
      <w:r w:rsidRPr="001F02D4">
        <w:t xml:space="preserve"> 8 anni</w:t>
      </w:r>
      <w:r w:rsidRPr="001F02D4">
        <w:br/>
      </w:r>
      <w:r w:rsidRPr="001F02D4">
        <w:rPr>
          <w:rFonts w:ascii="Segoe UI Symbol" w:hAnsi="Segoe UI Symbol" w:cs="Segoe UI Symbol"/>
        </w:rPr>
        <w:t>☐</w:t>
      </w:r>
      <w:r w:rsidRPr="001F02D4">
        <w:t xml:space="preserve"> 9 anni</w:t>
      </w:r>
      <w:bookmarkStart w:id="0" w:name="_GoBack"/>
      <w:bookmarkEnd w:id="0"/>
      <w:r w:rsidRPr="001F02D4">
        <w:br/>
      </w:r>
      <w:r w:rsidRPr="001F02D4">
        <w:rPr>
          <w:rFonts w:ascii="Segoe UI Symbol" w:hAnsi="Segoe UI Symbol" w:cs="Segoe UI Symbol"/>
        </w:rPr>
        <w:t>☐</w:t>
      </w:r>
      <w:r w:rsidRPr="001F02D4">
        <w:t xml:space="preserve"> 10 anni</w:t>
      </w:r>
      <w:r w:rsidRPr="001F02D4">
        <w:br/>
      </w:r>
      <w:r w:rsidRPr="001F02D4">
        <w:rPr>
          <w:rFonts w:ascii="Segoe UI Symbol" w:hAnsi="Segoe UI Symbol" w:cs="Segoe UI Symbol"/>
        </w:rPr>
        <w:t>☐</w:t>
      </w:r>
      <w:r w:rsidRPr="001F02D4">
        <w:t xml:space="preserve"> oltre 10 anni: __________________</w:t>
      </w:r>
      <w:r w:rsidRPr="001F02D4">
        <w:br/>
      </w:r>
      <w:r w:rsidRPr="001F02D4">
        <w:rPr>
          <w:rFonts w:ascii="Segoe UI Symbol" w:hAnsi="Segoe UI Symbol" w:cs="Segoe UI Symbol"/>
        </w:rPr>
        <w:t>☐</w:t>
      </w:r>
      <w:r w:rsidRPr="001F02D4">
        <w:t xml:space="preserve"> altra durata: __________________</w:t>
      </w:r>
    </w:p>
    <w:p w14:paraId="4A648B81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Motivazioni:</w:t>
      </w:r>
    </w:p>
    <w:p w14:paraId="0E48B1FA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0926241">
          <v:rect id="_x0000_i1040" style="width:0;height:1.5pt" o:hralign="center" o:hrstd="t" o:hr="t" fillcolor="#a0a0a0" stroked="f"/>
        </w:pict>
      </w:r>
    </w:p>
    <w:p w14:paraId="15E07CB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AD02CF6">
          <v:rect id="_x0000_i1041" style="width:0;height:1.5pt" o:hralign="center" o:hrstd="t" o:hr="t" fillcolor="#a0a0a0" stroked="f"/>
        </w:pict>
      </w:r>
    </w:p>
    <w:p w14:paraId="601C66F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F598893">
          <v:rect id="_x0000_i1042" style="width:0;height:1.5pt" o:hralign="center" o:hrstd="t" o:hr="t" fillcolor="#a0a0a0" stroked="f"/>
        </w:pict>
      </w:r>
    </w:p>
    <w:p w14:paraId="3CA71BA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8D93383">
          <v:rect id="_x0000_i1043" style="width:0;height:1.5pt" o:hralign="center" o:hrstd="t" o:hr="t" fillcolor="#a0a0a0" stroked="f"/>
        </w:pict>
      </w:r>
    </w:p>
    <w:p w14:paraId="71DD7EAE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lastRenderedPageBreak/>
        <w:t>B.2 – Investimento iniziale</w:t>
      </w:r>
    </w:p>
    <w:p w14:paraId="5951DA50" w14:textId="77777777" w:rsidR="001F02D4" w:rsidRPr="001F02D4" w:rsidRDefault="001F02D4" w:rsidP="001F02D4">
      <w:pPr>
        <w:pStyle w:val="NormaleWeb"/>
      </w:pPr>
      <w:r w:rsidRPr="001F02D4">
        <w:t xml:space="preserve">L'investimento iniziale indicativo posto a carico del concessionario, stimato in circa </w:t>
      </w:r>
      <w:r w:rsidRPr="001F02D4">
        <w:rPr>
          <w:rStyle w:val="Enfasigrassetto"/>
        </w:rPr>
        <w:t>€ 211.300,00 oltre IVA</w:t>
      </w:r>
      <w:r w:rsidRPr="001F02D4">
        <w:t>, è ritenuto sostenibile rispetto alla configurazione della concessione?</w:t>
      </w:r>
    </w:p>
    <w:p w14:paraId="343107B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Sì</w:t>
      </w:r>
    </w:p>
    <w:p w14:paraId="580159A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</w:t>
      </w:r>
    </w:p>
    <w:p w14:paraId="46D976F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Sì, ma esclusivamente con una maggiore durata della concessione</w:t>
      </w:r>
    </w:p>
    <w:p w14:paraId="1FB6DCDF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Sì, ma con una diversa configurazione quantitativa delle dotazioni</w:t>
      </w:r>
    </w:p>
    <w:p w14:paraId="45440E6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Sì, ma con una diversa configurazione tecnica degli impianti</w:t>
      </w:r>
    </w:p>
    <w:p w14:paraId="5EE8A85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 con i dati disponibili</w:t>
      </w:r>
    </w:p>
    <w:p w14:paraId="1E8F9456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Ordine di grandezza dell'investimento complessivo ritenuto sostenibile:</w:t>
      </w:r>
    </w:p>
    <w:p w14:paraId="053A6297" w14:textId="77777777" w:rsidR="001F02D4" w:rsidRPr="001F02D4" w:rsidRDefault="001F02D4" w:rsidP="001F02D4">
      <w:pPr>
        <w:pStyle w:val="NormaleWeb"/>
      </w:pPr>
      <w:r w:rsidRPr="001F02D4">
        <w:t>€ _______________________________</w:t>
      </w:r>
    </w:p>
    <w:p w14:paraId="2BE4E8F0" w14:textId="77777777" w:rsidR="001F02D4" w:rsidRPr="001F02D4" w:rsidRDefault="001F02D4" w:rsidP="001F02D4">
      <w:pPr>
        <w:pStyle w:val="NormaleWeb"/>
      </w:pPr>
      <w:r w:rsidRPr="001F02D4">
        <w:t>oppure range:</w:t>
      </w:r>
    </w:p>
    <w:p w14:paraId="07C90DDE" w14:textId="77777777" w:rsidR="001F02D4" w:rsidRPr="001F02D4" w:rsidRDefault="001F02D4" w:rsidP="001F02D4">
      <w:pPr>
        <w:pStyle w:val="NormaleWeb"/>
      </w:pPr>
      <w:r w:rsidRPr="001F02D4">
        <w:t>da € __________________ a € __________________</w:t>
      </w:r>
    </w:p>
    <w:p w14:paraId="4725A67C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Osservazioni:</w:t>
      </w:r>
    </w:p>
    <w:p w14:paraId="0A70BCAA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F9A06B2">
          <v:rect id="_x0000_i1044" style="width:0;height:1.5pt" o:hralign="center" o:hrstd="t" o:hr="t" fillcolor="#a0a0a0" stroked="f"/>
        </w:pict>
      </w:r>
    </w:p>
    <w:p w14:paraId="22028287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2FFE044">
          <v:rect id="_x0000_i1045" style="width:0;height:1.5pt" o:hralign="center" o:hrstd="t" o:hr="t" fillcolor="#a0a0a0" stroked="f"/>
        </w:pict>
      </w:r>
    </w:p>
    <w:p w14:paraId="5556346E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D4B3F16">
          <v:rect id="_x0000_i1046" style="width:0;height:1.5pt" o:hralign="center" o:hrstd="t" o:hr="t" fillcolor="#a0a0a0" stroked="f"/>
        </w:pict>
      </w:r>
    </w:p>
    <w:p w14:paraId="6726536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ABFF32E">
          <v:rect id="_x0000_i1047" style="width:0;height:1.5pt" o:hralign="center" o:hrstd="t" o:hr="t" fillcolor="#a0a0a0" stroked="f"/>
        </w:pict>
      </w:r>
    </w:p>
    <w:p w14:paraId="445B52EA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B.3 – Potenzialità dei ricavi pubblicitari</w:t>
      </w:r>
    </w:p>
    <w:p w14:paraId="7E88BE6F" w14:textId="77777777" w:rsidR="001F02D4" w:rsidRPr="001F02D4" w:rsidRDefault="001F02D4" w:rsidP="001F02D4">
      <w:pPr>
        <w:pStyle w:val="NormaleWeb"/>
      </w:pPr>
      <w:r w:rsidRPr="001F02D4">
        <w:t xml:space="preserve">Il Piano Economico-Finanziario preliminare assume, nello scenario realistico, ricavi da gestione pubblicitaria pari a circa </w:t>
      </w:r>
      <w:r w:rsidRPr="001F02D4">
        <w:rPr>
          <w:rStyle w:val="Enfasigrassetto"/>
        </w:rPr>
        <w:t>€ 104.453,00 annui oltre IVA</w:t>
      </w:r>
      <w:r w:rsidRPr="001F02D4">
        <w:t>.</w:t>
      </w:r>
    </w:p>
    <w:p w14:paraId="5EFEA9F3" w14:textId="77777777" w:rsidR="001F02D4" w:rsidRPr="001F02D4" w:rsidRDefault="001F02D4" w:rsidP="001F02D4">
      <w:pPr>
        <w:pStyle w:val="NormaleWeb"/>
      </w:pPr>
      <w:r w:rsidRPr="001F02D4">
        <w:t>Tale valore appare coerente con le potenzialità del mercato locale e sovracomunale della pubblicità esterna?</w:t>
      </w:r>
    </w:p>
    <w:p w14:paraId="6ACAB26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Sì</w:t>
      </w:r>
    </w:p>
    <w:p w14:paraId="7D2B258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Tendenzialmente sì</w:t>
      </w:r>
    </w:p>
    <w:p w14:paraId="7B4BC60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Tendenzialmente no</w:t>
      </w:r>
    </w:p>
    <w:p w14:paraId="24F8922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</w:t>
      </w:r>
    </w:p>
    <w:p w14:paraId="6F0B77A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 senza ulteriori informazioni</w:t>
      </w:r>
    </w:p>
    <w:p w14:paraId="25FAE058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Ricavo annuo che l'operatore ritiene realisticamente conseguibile:</w:t>
      </w:r>
    </w:p>
    <w:p w14:paraId="247D685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inferiore a € 60.000</w:t>
      </w:r>
    </w:p>
    <w:p w14:paraId="7A177E7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€ 60.000 – € 80.000</w:t>
      </w:r>
    </w:p>
    <w:p w14:paraId="725B2D9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€ 80.001 – € 100.000</w:t>
      </w:r>
    </w:p>
    <w:p w14:paraId="2EF0C0AA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€ 100.001 – € 120.000</w:t>
      </w:r>
    </w:p>
    <w:p w14:paraId="651C064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€ 120.001 – € 140.000</w:t>
      </w:r>
    </w:p>
    <w:p w14:paraId="7F28FD45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superiore a € 140.000</w:t>
      </w:r>
    </w:p>
    <w:p w14:paraId="62894477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si esprime</w:t>
      </w:r>
    </w:p>
    <w:p w14:paraId="47146192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Eventuale diversa stima e relativi presupposti:</w:t>
      </w:r>
    </w:p>
    <w:p w14:paraId="73EFFDCB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0E1016D">
          <v:rect id="_x0000_i1048" style="width:0;height:1.5pt" o:hralign="center" o:hrstd="t" o:hr="t" fillcolor="#a0a0a0" stroked="f"/>
        </w:pict>
      </w:r>
    </w:p>
    <w:p w14:paraId="58E85A3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300AB03">
          <v:rect id="_x0000_i1049" style="width:0;height:1.5pt" o:hralign="center" o:hrstd="t" o:hr="t" fillcolor="#a0a0a0" stroked="f"/>
        </w:pict>
      </w:r>
    </w:p>
    <w:p w14:paraId="64D8F6F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BAD41AB">
          <v:rect id="_x0000_i1050" style="width:0;height:1.5pt" o:hralign="center" o:hrstd="t" o:hr="t" fillcolor="#a0a0a0" stroked="f"/>
        </w:pict>
      </w:r>
    </w:p>
    <w:p w14:paraId="72877AE2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B.4 – Saturazione degli spazi pubblicitari</w:t>
      </w:r>
    </w:p>
    <w:p w14:paraId="5282146E" w14:textId="77777777" w:rsidR="001F02D4" w:rsidRPr="001F02D4" w:rsidRDefault="001F02D4" w:rsidP="001F02D4">
      <w:pPr>
        <w:pStyle w:val="NormaleWeb"/>
      </w:pPr>
      <w:r w:rsidRPr="001F02D4">
        <w:t>Quale tasso medio di utilizzo/saturazione commerciale degli spazi pubblicitari ritiene realisticamente raggiungibile a regime?</w:t>
      </w:r>
    </w:p>
    <w:p w14:paraId="6356A231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inferiore al 40%</w:t>
      </w:r>
    </w:p>
    <w:p w14:paraId="0D9910AA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40% – 50%</w:t>
      </w:r>
    </w:p>
    <w:p w14:paraId="4420FB9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51% – 60%</w:t>
      </w:r>
    </w:p>
    <w:p w14:paraId="40607B5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61% – 70%</w:t>
      </w:r>
    </w:p>
    <w:p w14:paraId="5067936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71% – 80%</w:t>
      </w:r>
    </w:p>
    <w:p w14:paraId="308E295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superiore all'80%</w:t>
      </w:r>
    </w:p>
    <w:p w14:paraId="58D3AE9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</w:t>
      </w:r>
    </w:p>
    <w:p w14:paraId="4BDCB59C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Osservazioni:</w:t>
      </w:r>
    </w:p>
    <w:p w14:paraId="6D2FFFB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0BD2413">
          <v:rect id="_x0000_i1051" style="width:0;height:1.5pt" o:hralign="center" o:hrstd="t" o:hr="t" fillcolor="#a0a0a0" stroked="f"/>
        </w:pict>
      </w:r>
    </w:p>
    <w:p w14:paraId="65719B0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31DCD6A">
          <v:rect id="_x0000_i1052" style="width:0;height:1.5pt" o:hralign="center" o:hrstd="t" o:hr="t" fillcolor="#a0a0a0" stroked="f"/>
        </w:pict>
      </w:r>
    </w:p>
    <w:p w14:paraId="5254E7C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95E0D30">
          <v:rect id="_x0000_i1053" style="width:0;height:1.5pt" o:hralign="center" o:hrstd="t" o:hr="t" fillcolor="#a0a0a0" stroked="f"/>
        </w:pict>
      </w:r>
    </w:p>
    <w:p w14:paraId="1E4BC842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B.5 – Canone Unico Patrimoniale</w:t>
      </w:r>
    </w:p>
    <w:p w14:paraId="5C4E4A17" w14:textId="77777777" w:rsidR="001F02D4" w:rsidRPr="001F02D4" w:rsidRDefault="001F02D4" w:rsidP="001F02D4">
      <w:pPr>
        <w:pStyle w:val="NormaleWeb"/>
      </w:pPr>
      <w:r w:rsidRPr="001F02D4">
        <w:t xml:space="preserve">La stima del Canone Unico Patrimoniale, pari indicativamente a circa </w:t>
      </w:r>
      <w:r w:rsidRPr="001F02D4">
        <w:rPr>
          <w:rStyle w:val="Enfasigrassetto"/>
        </w:rPr>
        <w:t>€ 7.500,00 annui</w:t>
      </w:r>
      <w:r w:rsidRPr="001F02D4">
        <w:t>, è ritenuta:</w:t>
      </w:r>
    </w:p>
    <w:p w14:paraId="427D447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di incidenza contenuta;</w:t>
      </w:r>
    </w:p>
    <w:p w14:paraId="5AB7BF6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di incidenza significativa ma sostenibile;</w:t>
      </w:r>
    </w:p>
    <w:p w14:paraId="563795A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di incidenza elevata;</w:t>
      </w:r>
    </w:p>
    <w:p w14:paraId="2D753EC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elemento potenzialmente critico per la sostenibilità dell'operazione;</w:t>
      </w:r>
    </w:p>
    <w:p w14:paraId="05F7001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valutabile.</w:t>
      </w:r>
    </w:p>
    <w:p w14:paraId="6FCC1081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Osservazioni / eventuale soglia ritenuta sostenibile:</w:t>
      </w:r>
    </w:p>
    <w:p w14:paraId="02A2190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82CAE54">
          <v:rect id="_x0000_i1054" style="width:0;height:1.5pt" o:hralign="center" o:hrstd="t" o:hr="t" fillcolor="#a0a0a0" stroked="f"/>
        </w:pict>
      </w:r>
    </w:p>
    <w:p w14:paraId="1FA603D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528865D">
          <v:rect id="_x0000_i1055" style="width:0;height:1.5pt" o:hralign="center" o:hrstd="t" o:hr="t" fillcolor="#a0a0a0" stroked="f"/>
        </w:pict>
      </w:r>
    </w:p>
    <w:p w14:paraId="3EED5B9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EB759F3">
          <v:rect id="_x0000_i1056" style="width:0;height:1.5pt" o:hralign="center" o:hrstd="t" o:hr="t" fillcolor="#a0a0a0" stroked="f"/>
        </w:pict>
      </w:r>
    </w:p>
    <w:p w14:paraId="32DEB712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lastRenderedPageBreak/>
        <w:t>B.6 – Costi di gestione</w:t>
      </w:r>
    </w:p>
    <w:p w14:paraId="25220EDF" w14:textId="77777777" w:rsidR="001F02D4" w:rsidRPr="001F02D4" w:rsidRDefault="001F02D4" w:rsidP="001F02D4">
      <w:pPr>
        <w:pStyle w:val="NormaleWeb"/>
      </w:pPr>
      <w:r w:rsidRPr="001F02D4">
        <w:t xml:space="preserve">I costi medi annui di gestione, manutenzione e struttura assunti nel PEF preliminare sono stimati in circa </w:t>
      </w:r>
      <w:r w:rsidRPr="001F02D4">
        <w:rPr>
          <w:rStyle w:val="Enfasigrassetto"/>
        </w:rPr>
        <w:t>€ 44.000,00 annui</w:t>
      </w:r>
      <w:r w:rsidRPr="001F02D4">
        <w:t>, oltre al CUP.</w:t>
      </w:r>
    </w:p>
    <w:p w14:paraId="26A158FB" w14:textId="77777777" w:rsidR="001F02D4" w:rsidRPr="001F02D4" w:rsidRDefault="001F02D4" w:rsidP="001F02D4">
      <w:pPr>
        <w:pStyle w:val="NormaleWeb"/>
      </w:pPr>
      <w:r w:rsidRPr="001F02D4">
        <w:t>L'ordine di grandezza è ritenuto:</w:t>
      </w:r>
    </w:p>
    <w:p w14:paraId="16DF521A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congruo;</w:t>
      </w:r>
    </w:p>
    <w:p w14:paraId="105D7CC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prudenziale;</w:t>
      </w:r>
    </w:p>
    <w:p w14:paraId="6D887CC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sottostimato;</w:t>
      </w:r>
    </w:p>
    <w:p w14:paraId="2828287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sovrastimato;</w:t>
      </w:r>
    </w:p>
    <w:p w14:paraId="27A4A051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valutabile.</w:t>
      </w:r>
    </w:p>
    <w:p w14:paraId="71A70369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Stima alternativa dell'operatore:</w:t>
      </w:r>
    </w:p>
    <w:p w14:paraId="2F3AD7FE" w14:textId="77777777" w:rsidR="001F02D4" w:rsidRPr="001F02D4" w:rsidRDefault="001F02D4" w:rsidP="001F02D4">
      <w:pPr>
        <w:pStyle w:val="NormaleWeb"/>
      </w:pPr>
      <w:r w:rsidRPr="001F02D4">
        <w:t>€ _________________________ / anno</w:t>
      </w:r>
    </w:p>
    <w:p w14:paraId="7F7D070F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Principali voci suscettibili di maggiore incidenza:</w:t>
      </w:r>
    </w:p>
    <w:p w14:paraId="7A84B7D7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B02BA02">
          <v:rect id="_x0000_i1057" style="width:0;height:1.5pt" o:hralign="center" o:hrstd="t" o:hr="t" fillcolor="#a0a0a0" stroked="f"/>
        </w:pict>
      </w:r>
    </w:p>
    <w:p w14:paraId="508DBAC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2A6CCF3">
          <v:rect id="_x0000_i1058" style="width:0;height:1.5pt" o:hralign="center" o:hrstd="t" o:hr="t" fillcolor="#a0a0a0" stroked="f"/>
        </w:pict>
      </w:r>
    </w:p>
    <w:p w14:paraId="6844228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411412C">
          <v:rect id="_x0000_i1059" style="width:0;height:1.5pt" o:hralign="center" o:hrstd="t" o:hr="t" fillcolor="#a0a0a0" stroked="f"/>
        </w:pict>
      </w:r>
    </w:p>
    <w:p w14:paraId="18ECE5D7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C. DOTAZIONI MINIME E CONFIGURAZIONE TECNICA</w:t>
      </w:r>
    </w:p>
    <w:p w14:paraId="533A324F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C.1 – Valutazione delle quantità</w:t>
      </w:r>
    </w:p>
    <w:p w14:paraId="7AA8EC4B" w14:textId="77777777" w:rsidR="001F02D4" w:rsidRPr="001F02D4" w:rsidRDefault="001F02D4" w:rsidP="001F02D4">
      <w:pPr>
        <w:pStyle w:val="NormaleWeb"/>
      </w:pPr>
      <w:r w:rsidRPr="001F02D4">
        <w:t>Indicare per ciascuna dotazione se la quantità preliminarmente prevista è ritenuta tecnicamente ed economicamente sostenibile.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8"/>
        <w:gridCol w:w="1001"/>
        <w:gridCol w:w="1187"/>
        <w:gridCol w:w="3572"/>
      </w:tblGrid>
      <w:tr w:rsidR="001F02D4" w:rsidRPr="001F02D4" w14:paraId="09EFDFCC" w14:textId="77777777" w:rsidTr="001F02D4">
        <w:trPr>
          <w:tblHeader/>
          <w:tblCellSpacing w:w="15" w:type="dxa"/>
        </w:trPr>
        <w:tc>
          <w:tcPr>
            <w:tcW w:w="1991" w:type="pct"/>
            <w:vAlign w:val="center"/>
            <w:hideMark/>
          </w:tcPr>
          <w:p w14:paraId="3D7DF328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Dotazione</w:t>
            </w:r>
          </w:p>
        </w:tc>
        <w:tc>
          <w:tcPr>
            <w:tcW w:w="498" w:type="pct"/>
            <w:vAlign w:val="center"/>
            <w:hideMark/>
          </w:tcPr>
          <w:p w14:paraId="23E60D64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</w:t>
            </w:r>
          </w:p>
        </w:tc>
        <w:tc>
          <w:tcPr>
            <w:tcW w:w="595" w:type="pct"/>
            <w:vAlign w:val="center"/>
            <w:hideMark/>
          </w:tcPr>
          <w:p w14:paraId="4B9C7039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Sostenibile</w:t>
            </w:r>
          </w:p>
        </w:tc>
        <w:tc>
          <w:tcPr>
            <w:tcW w:w="1838" w:type="pct"/>
            <w:vAlign w:val="center"/>
            <w:hideMark/>
          </w:tcPr>
          <w:p w14:paraId="4B8A0BB4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Quantità eventualmente suggerita</w:t>
            </w:r>
          </w:p>
        </w:tc>
      </w:tr>
      <w:tr w:rsidR="001F02D4" w:rsidRPr="001F02D4" w14:paraId="3E2C37B1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52693BB2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Panchine smart</w:t>
            </w:r>
          </w:p>
        </w:tc>
        <w:tc>
          <w:tcPr>
            <w:tcW w:w="498" w:type="pct"/>
            <w:vAlign w:val="center"/>
            <w:hideMark/>
          </w:tcPr>
          <w:p w14:paraId="2A240A6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" w:type="pct"/>
            <w:vAlign w:val="center"/>
            <w:hideMark/>
          </w:tcPr>
          <w:p w14:paraId="43B0237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574CF3A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4BE47439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41615BF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Panchine tradizionali</w:t>
            </w:r>
          </w:p>
        </w:tc>
        <w:tc>
          <w:tcPr>
            <w:tcW w:w="498" w:type="pct"/>
            <w:vAlign w:val="center"/>
            <w:hideMark/>
          </w:tcPr>
          <w:p w14:paraId="4F11E45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" w:type="pct"/>
            <w:vAlign w:val="center"/>
            <w:hideMark/>
          </w:tcPr>
          <w:p w14:paraId="7C713CEF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1F3B958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05294165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164B852D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Pensiline attesa bus</w:t>
            </w:r>
          </w:p>
        </w:tc>
        <w:tc>
          <w:tcPr>
            <w:tcW w:w="498" w:type="pct"/>
            <w:vAlign w:val="center"/>
            <w:hideMark/>
          </w:tcPr>
          <w:p w14:paraId="6A40DA5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pct"/>
            <w:vAlign w:val="center"/>
            <w:hideMark/>
          </w:tcPr>
          <w:p w14:paraId="550581B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4F4E2D3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0F742FCB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1ABE6BD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Dissuasori / transenne parapedonali</w:t>
            </w:r>
          </w:p>
        </w:tc>
        <w:tc>
          <w:tcPr>
            <w:tcW w:w="498" w:type="pct"/>
            <w:vAlign w:val="center"/>
            <w:hideMark/>
          </w:tcPr>
          <w:p w14:paraId="163B56F8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95" w:type="pct"/>
            <w:vAlign w:val="center"/>
            <w:hideMark/>
          </w:tcPr>
          <w:p w14:paraId="7D842F5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53195F9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7C85C1C8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775A4AB8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Portali segnaletici direzionali</w:t>
            </w:r>
          </w:p>
        </w:tc>
        <w:tc>
          <w:tcPr>
            <w:tcW w:w="498" w:type="pct"/>
            <w:vAlign w:val="center"/>
            <w:hideMark/>
          </w:tcPr>
          <w:p w14:paraId="5DF17C1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" w:type="pct"/>
            <w:vAlign w:val="center"/>
            <w:hideMark/>
          </w:tcPr>
          <w:p w14:paraId="143252F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69A510E3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26982F4C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32681662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Cestini raccolta differenziata</w:t>
            </w:r>
          </w:p>
        </w:tc>
        <w:tc>
          <w:tcPr>
            <w:tcW w:w="498" w:type="pct"/>
            <w:vAlign w:val="center"/>
            <w:hideMark/>
          </w:tcPr>
          <w:p w14:paraId="5E2F89D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" w:type="pct"/>
            <w:vAlign w:val="center"/>
            <w:hideMark/>
          </w:tcPr>
          <w:p w14:paraId="60C7C79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6B408E18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151C0406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375B44C3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Pannelli LED formato 3 × 2 m</w:t>
            </w:r>
          </w:p>
        </w:tc>
        <w:tc>
          <w:tcPr>
            <w:tcW w:w="498" w:type="pct"/>
            <w:vAlign w:val="center"/>
            <w:hideMark/>
          </w:tcPr>
          <w:p w14:paraId="4369B1A0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" w:type="pct"/>
            <w:vAlign w:val="center"/>
            <w:hideMark/>
          </w:tcPr>
          <w:p w14:paraId="48D0173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7217C63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5CE6F5D0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6ED31E23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Fioriere</w:t>
            </w:r>
          </w:p>
        </w:tc>
        <w:tc>
          <w:tcPr>
            <w:tcW w:w="498" w:type="pct"/>
            <w:vAlign w:val="center"/>
            <w:hideMark/>
          </w:tcPr>
          <w:p w14:paraId="34381B4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" w:type="pct"/>
            <w:vAlign w:val="center"/>
            <w:hideMark/>
          </w:tcPr>
          <w:p w14:paraId="677A4DE0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5A0A6C3B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3E82D225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2371195C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Orologi urbani</w:t>
            </w:r>
          </w:p>
        </w:tc>
        <w:tc>
          <w:tcPr>
            <w:tcW w:w="498" w:type="pct"/>
            <w:vAlign w:val="center"/>
            <w:hideMark/>
          </w:tcPr>
          <w:p w14:paraId="44E6AE5F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" w:type="pct"/>
            <w:vAlign w:val="center"/>
            <w:hideMark/>
          </w:tcPr>
          <w:p w14:paraId="60BC451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31B316E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1F02D4" w:rsidRPr="001F02D4" w14:paraId="0B01C83F" w14:textId="77777777" w:rsidTr="001F02D4">
        <w:trPr>
          <w:tblCellSpacing w:w="15" w:type="dxa"/>
        </w:trPr>
        <w:tc>
          <w:tcPr>
            <w:tcW w:w="1991" w:type="pct"/>
            <w:vAlign w:val="center"/>
            <w:hideMark/>
          </w:tcPr>
          <w:p w14:paraId="3BC4A5B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Defibrillatori automatici esterni – DAE</w:t>
            </w:r>
          </w:p>
        </w:tc>
        <w:tc>
          <w:tcPr>
            <w:tcW w:w="498" w:type="pct"/>
            <w:vAlign w:val="center"/>
            <w:hideMark/>
          </w:tcPr>
          <w:p w14:paraId="02153F63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vAlign w:val="center"/>
            <w:hideMark/>
          </w:tcPr>
          <w:p w14:paraId="042D626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Sì </w:t>
            </w: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</w:p>
        </w:tc>
        <w:tc>
          <w:tcPr>
            <w:tcW w:w="1838" w:type="pct"/>
            <w:vAlign w:val="center"/>
            <w:hideMark/>
          </w:tcPr>
          <w:p w14:paraId="5C24CE0E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14:paraId="5E6BC2EC" w14:textId="77777777" w:rsidR="001F02D4" w:rsidRPr="001F02D4" w:rsidRDefault="001F02D4" w:rsidP="001F02D4">
      <w:pPr>
        <w:pStyle w:val="NormaleWeb"/>
      </w:pPr>
      <w:r w:rsidRPr="001F02D4">
        <w:t xml:space="preserve">Le quantità corrispondono alla configurazione tecnica attualmente sottoposta al mercato. </w:t>
      </w:r>
    </w:p>
    <w:p w14:paraId="6721ADC0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C.2 – Rimodulazione delle dotazioni</w:t>
      </w:r>
    </w:p>
    <w:p w14:paraId="12138CAC" w14:textId="77777777" w:rsidR="001F02D4" w:rsidRPr="001F02D4" w:rsidRDefault="001F02D4" w:rsidP="001F02D4">
      <w:pPr>
        <w:pStyle w:val="NormaleWeb"/>
      </w:pPr>
      <w:r w:rsidRPr="001F02D4">
        <w:t>Indicare eventuali dotazioni che, al fine di migliorare la sostenibilità economico-finanziaria dell'operazione, sarebbe opportuno:</w:t>
      </w:r>
    </w:p>
    <w:p w14:paraId="130867DF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eliminare:</w:t>
      </w:r>
    </w:p>
    <w:p w14:paraId="4485912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4FE05FB">
          <v:rect id="_x0000_i1060" style="width:0;height:1.5pt" o:hralign="center" o:hrstd="t" o:hr="t" fillcolor="#a0a0a0" stroked="f"/>
        </w:pict>
      </w:r>
    </w:p>
    <w:p w14:paraId="531D84E4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ridurre:</w:t>
      </w:r>
    </w:p>
    <w:p w14:paraId="2E7FF9DE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0385595">
          <v:rect id="_x0000_i1061" style="width:0;height:1.5pt" o:hralign="center" o:hrstd="t" o:hr="t" fillcolor="#a0a0a0" stroked="f"/>
        </w:pict>
      </w:r>
    </w:p>
    <w:p w14:paraId="7EA187B8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lastRenderedPageBreak/>
        <w:t>incrementare:</w:t>
      </w:r>
    </w:p>
    <w:p w14:paraId="15E0A86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C382871">
          <v:rect id="_x0000_i1062" style="width:0;height:1.5pt" o:hralign="center" o:hrstd="t" o:hr="t" fillcolor="#a0a0a0" stroked="f"/>
        </w:pict>
      </w:r>
    </w:p>
    <w:p w14:paraId="66A8B242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sostituire:</w:t>
      </w:r>
    </w:p>
    <w:p w14:paraId="70CB751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17465CC">
          <v:rect id="_x0000_i1063" style="width:0;height:1.5pt" o:hralign="center" o:hrstd="t" o:hr="t" fillcolor="#a0a0a0" stroked="f"/>
        </w:pict>
      </w:r>
    </w:p>
    <w:p w14:paraId="485757B5" w14:textId="77777777" w:rsidR="001F02D4" w:rsidRPr="001F02D4" w:rsidRDefault="001F02D4" w:rsidP="001F02D4">
      <w:pPr>
        <w:pStyle w:val="NormaleWeb"/>
      </w:pPr>
      <w:r w:rsidRPr="001F02D4">
        <w:t>Motivazioni:</w:t>
      </w:r>
    </w:p>
    <w:p w14:paraId="59CC93B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9720892">
          <v:rect id="_x0000_i1064" style="width:0;height:1.5pt" o:hralign="center" o:hrstd="t" o:hr="t" fillcolor="#a0a0a0" stroked="f"/>
        </w:pict>
      </w:r>
    </w:p>
    <w:p w14:paraId="184ADE7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6BF8B21">
          <v:rect id="_x0000_i1065" style="width:0;height:1.5pt" o:hralign="center" o:hrstd="t" o:hr="t" fillcolor="#a0a0a0" stroked="f"/>
        </w:pict>
      </w:r>
    </w:p>
    <w:p w14:paraId="0B44798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D492C68">
          <v:rect id="_x0000_i1066" style="width:0;height:1.5pt" o:hralign="center" o:hrstd="t" o:hr="t" fillcolor="#a0a0a0" stroked="f"/>
        </w:pict>
      </w:r>
    </w:p>
    <w:p w14:paraId="5CF72022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C.3 – Impianti maggiormente idonei alla valorizzazione pubblicitaria</w:t>
      </w:r>
    </w:p>
    <w:p w14:paraId="0F98AE5E" w14:textId="77777777" w:rsidR="001F02D4" w:rsidRPr="001F02D4" w:rsidRDefault="001F02D4" w:rsidP="001F02D4">
      <w:pPr>
        <w:pStyle w:val="NormaleWeb"/>
      </w:pPr>
      <w:r w:rsidRPr="001F02D4">
        <w:t>Quali tipologie di impianto presentano, secondo l'esperienza dell'operatore, le maggiori potenzialità economiche?</w:t>
      </w:r>
    </w:p>
    <w:p w14:paraId="6F6602D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pensiline bus;</w:t>
      </w:r>
    </w:p>
    <w:p w14:paraId="3788093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panchine smart;</w:t>
      </w:r>
    </w:p>
    <w:p w14:paraId="78D72ADE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portali / preinsegne direzionali;</w:t>
      </w:r>
    </w:p>
    <w:p w14:paraId="7194925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pannelli LED;</w:t>
      </w:r>
    </w:p>
    <w:p w14:paraId="6BBDF71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orologi urbani;</w:t>
      </w:r>
    </w:p>
    <w:p w14:paraId="71BCA96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transenne / dissuasori con superfici pubblicitarie;</w:t>
      </w:r>
    </w:p>
    <w:p w14:paraId="6DBAFCD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altre tipologie: __________________________________________.</w:t>
      </w:r>
    </w:p>
    <w:p w14:paraId="39821DF8" w14:textId="77777777" w:rsidR="001F02D4" w:rsidRPr="001F02D4" w:rsidRDefault="001F02D4" w:rsidP="001F02D4">
      <w:pPr>
        <w:pStyle w:val="NormaleWeb"/>
      </w:pPr>
      <w:r w:rsidRPr="001F02D4">
        <w:t>Eventuali osservazioni:</w:t>
      </w:r>
    </w:p>
    <w:p w14:paraId="4FC47B8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B396D33">
          <v:rect id="_x0000_i1067" style="width:0;height:1.5pt" o:hralign="center" o:hrstd="t" o:hr="t" fillcolor="#a0a0a0" stroked="f"/>
        </w:pict>
      </w:r>
    </w:p>
    <w:p w14:paraId="3FC49C8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51EE1B8">
          <v:rect id="_x0000_i1068" style="width:0;height:1.5pt" o:hralign="center" o:hrstd="t" o:hr="t" fillcolor="#a0a0a0" stroked="f"/>
        </w:pict>
      </w:r>
    </w:p>
    <w:p w14:paraId="74B4B0E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lastRenderedPageBreak/>
        <w:pict w14:anchorId="7CC61F6A">
          <v:rect id="_x0000_i1069" style="width:0;height:1.5pt" o:hralign="center" o:hrstd="t" o:hr="t" fillcolor="#a0a0a0" stroked="f"/>
        </w:pict>
      </w:r>
    </w:p>
    <w:p w14:paraId="52F3053A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C.4 – Soluzioni innovative</w:t>
      </w:r>
    </w:p>
    <w:p w14:paraId="501C5936" w14:textId="77777777" w:rsidR="001F02D4" w:rsidRPr="001F02D4" w:rsidRDefault="001F02D4" w:rsidP="001F02D4">
      <w:pPr>
        <w:pStyle w:val="NormaleWeb"/>
      </w:pPr>
      <w:r w:rsidRPr="001F02D4">
        <w:t>Indicare eventuali tecnologie, servizi smart o ulteriori soluzioni che potrebbero essere realisticamente integrate nell'operazione senza comprometterne l'equilibrio economico-finanziario:</w:t>
      </w:r>
    </w:p>
    <w:p w14:paraId="6A974FF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7B021F6">
          <v:rect id="_x0000_i1070" style="width:0;height:1.5pt" o:hralign="center" o:hrstd="t" o:hr="t" fillcolor="#a0a0a0" stroked="f"/>
        </w:pict>
      </w:r>
    </w:p>
    <w:p w14:paraId="49E3D7C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B13CF55">
          <v:rect id="_x0000_i1071" style="width:0;height:1.5pt" o:hralign="center" o:hrstd="t" o:hr="t" fillcolor="#a0a0a0" stroked="f"/>
        </w:pict>
      </w:r>
    </w:p>
    <w:p w14:paraId="44D8C7DA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205B81C">
          <v:rect id="_x0000_i1072" style="width:0;height:1.5pt" o:hralign="center" o:hrstd="t" o:hr="t" fillcolor="#a0a0a0" stroked="f"/>
        </w:pict>
      </w:r>
    </w:p>
    <w:p w14:paraId="4B77CDA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074E7E9">
          <v:rect id="_x0000_i1073" style="width:0;height:1.5pt" o:hralign="center" o:hrstd="t" o:hr="t" fillcolor="#a0a0a0" stroked="f"/>
        </w:pict>
      </w:r>
    </w:p>
    <w:p w14:paraId="4E18BF14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D. TEMPI DI REALIZZAZIONE E GESTIONE</w:t>
      </w:r>
    </w:p>
    <w:p w14:paraId="26674C71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D.1 – Tempi per la messa in esercizio</w:t>
      </w:r>
    </w:p>
    <w:p w14:paraId="63EC4D49" w14:textId="77777777" w:rsidR="001F02D4" w:rsidRPr="001F02D4" w:rsidRDefault="001F02D4" w:rsidP="001F02D4">
      <w:pPr>
        <w:pStyle w:val="NormaleWeb"/>
      </w:pPr>
      <w:r w:rsidRPr="001F02D4">
        <w:t>Tenuto conto della necessità di procedere alla progettazione esecutiva, approvvigionamento delle forniture, acquisizione delle autorizzazioni, realizzazione delle opere accessorie, installazione e collaudo, quale tempistica è ritenuta realisticamente necessaria per la piena messa in esercizio?</w:t>
      </w:r>
    </w:p>
    <w:p w14:paraId="7B5DD93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entro 60 giorni;</w:t>
      </w:r>
    </w:p>
    <w:p w14:paraId="5A63CC5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 61 a 90 giorni;</w:t>
      </w:r>
    </w:p>
    <w:p w14:paraId="41A2A455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 91 a 120 giorni;</w:t>
      </w:r>
    </w:p>
    <w:p w14:paraId="1787275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 121 a 180 giorni;</w:t>
      </w:r>
    </w:p>
    <w:p w14:paraId="36FD4C5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oltre 180 giorni.</w:t>
      </w:r>
    </w:p>
    <w:p w14:paraId="2E665244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Tempistica proposta:</w:t>
      </w:r>
      <w:r w:rsidRPr="001F02D4">
        <w:t xml:space="preserve"> __________________ giorni.</w:t>
      </w:r>
    </w:p>
    <w:p w14:paraId="266EB812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D.2 – Principali fattori incidenti sui tempi</w:t>
      </w:r>
    </w:p>
    <w:p w14:paraId="00985B51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approvvigionamento delle forniture;</w:t>
      </w:r>
    </w:p>
    <w:p w14:paraId="6FF3DE8E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progettazione esecutiva;</w:t>
      </w:r>
    </w:p>
    <w:p w14:paraId="79ADED4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autorizzazioni;</w:t>
      </w:r>
    </w:p>
    <w:p w14:paraId="20741C8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localizzazione definitiva degli impianti;</w:t>
      </w:r>
    </w:p>
    <w:p w14:paraId="21762967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allacciamenti elettrici;</w:t>
      </w:r>
    </w:p>
    <w:p w14:paraId="4D1F122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opere civili;</w:t>
      </w:r>
    </w:p>
    <w:p w14:paraId="3C087C25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disponibilità delle aree;</w:t>
      </w:r>
    </w:p>
    <w:p w14:paraId="2C8F7BB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interferenze con viabilità e sottoservizi;</w:t>
      </w:r>
    </w:p>
    <w:p w14:paraId="178936D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altro: __________________________________________.</w:t>
      </w:r>
    </w:p>
    <w:p w14:paraId="060A2536" w14:textId="77777777" w:rsidR="001F02D4" w:rsidRPr="001F02D4" w:rsidRDefault="001F02D4" w:rsidP="001F02D4">
      <w:pPr>
        <w:pStyle w:val="NormaleWeb"/>
      </w:pPr>
      <w:r w:rsidRPr="001F02D4">
        <w:t>Osservazioni:</w:t>
      </w:r>
    </w:p>
    <w:p w14:paraId="4E423E3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FF19209">
          <v:rect id="_x0000_i1074" style="width:0;height:1.5pt" o:hralign="center" o:hrstd="t" o:hr="t" fillcolor="#a0a0a0" stroked="f"/>
        </w:pict>
      </w:r>
    </w:p>
    <w:p w14:paraId="5E58B2C5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17C4C8C">
          <v:rect id="_x0000_i1075" style="width:0;height:1.5pt" o:hralign="center" o:hrstd="t" o:hr="t" fillcolor="#a0a0a0" stroked="f"/>
        </w:pict>
      </w:r>
    </w:p>
    <w:p w14:paraId="0BCF08A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8915247">
          <v:rect id="_x0000_i1076" style="width:0;height:1.5pt" o:hralign="center" o:hrstd="t" o:hr="t" fillcolor="#a0a0a0" stroked="f"/>
        </w:pict>
      </w:r>
    </w:p>
    <w:p w14:paraId="208BEDC0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D.3 – Standard manutentivi</w:t>
      </w:r>
    </w:p>
    <w:p w14:paraId="332C94A0" w14:textId="77777777" w:rsidR="001F02D4" w:rsidRPr="001F02D4" w:rsidRDefault="001F02D4" w:rsidP="001F02D4">
      <w:pPr>
        <w:pStyle w:val="NormaleWeb"/>
      </w:pPr>
      <w:r w:rsidRPr="001F02D4">
        <w:t>Indicare eventuali osservazioni in merito agli standard manutentivi, ai tempi di pronto intervento, agli obblighi di sostituzione e agli ulteriori obblighi gestionali previsti nella documentazione preliminare:</w:t>
      </w:r>
    </w:p>
    <w:p w14:paraId="504E889A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A0E4935">
          <v:rect id="_x0000_i1077" style="width:0;height:1.5pt" o:hralign="center" o:hrstd="t" o:hr="t" fillcolor="#a0a0a0" stroked="f"/>
        </w:pict>
      </w:r>
    </w:p>
    <w:p w14:paraId="6FDB6AE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11B40CF">
          <v:rect id="_x0000_i1078" style="width:0;height:1.5pt" o:hralign="center" o:hrstd="t" o:hr="t" fillcolor="#a0a0a0" stroked="f"/>
        </w:pict>
      </w:r>
    </w:p>
    <w:p w14:paraId="4FA16D3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D9214C7">
          <v:rect id="_x0000_i1079" style="width:0;height:1.5pt" o:hralign="center" o:hrstd="t" o:hr="t" fillcolor="#a0a0a0" stroked="f"/>
        </w:pict>
      </w:r>
    </w:p>
    <w:p w14:paraId="7EE7F1DB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833C607">
          <v:rect id="_x0000_i1080" style="width:0;height:1.5pt" o:hralign="center" o:hrstd="t" o:hr="t" fillcolor="#a0a0a0" stroked="f"/>
        </w:pict>
      </w:r>
    </w:p>
    <w:p w14:paraId="233649B5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lastRenderedPageBreak/>
        <w:t>E. REQUISITI DELLA FUTURA PROCEDURA</w:t>
      </w:r>
    </w:p>
    <w:p w14:paraId="74B67500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E.1 – Capacità tecnica e professionale</w:t>
      </w:r>
    </w:p>
    <w:p w14:paraId="16B36F72" w14:textId="77777777" w:rsidR="001F02D4" w:rsidRPr="001F02D4" w:rsidRDefault="001F02D4" w:rsidP="001F02D4">
      <w:pPr>
        <w:pStyle w:val="NormaleWeb"/>
      </w:pPr>
      <w:r w:rsidRPr="001F02D4">
        <w:t>Quali esperienze tecniche e professionali ritiene opportuno richiedere per assicurare l'affidabilità del futuro concessionario senza restringere ingiustificatamente la concorrenza?</w:t>
      </w:r>
    </w:p>
    <w:p w14:paraId="7CC7385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gestione di impianti pubblicitari;</w:t>
      </w:r>
    </w:p>
    <w:p w14:paraId="01CA1A5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concessioni di servizi;</w:t>
      </w:r>
    </w:p>
    <w:p w14:paraId="4161F57E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installazione/manutenzione di arredo urbano;</w:t>
      </w:r>
    </w:p>
    <w:p w14:paraId="6613B3D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gestione di segnaletica pubblicitaria;</w:t>
      </w:r>
    </w:p>
    <w:p w14:paraId="1CE76AD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servizi Smart City;</w:t>
      </w:r>
    </w:p>
    <w:p w14:paraId="74FAA03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gestione di impianti digitali / LED;</w:t>
      </w:r>
    </w:p>
    <w:p w14:paraId="4DE1E76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attività analoghe svolte per amministrazioni pubbliche;</w:t>
      </w:r>
    </w:p>
    <w:p w14:paraId="6E76361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attività analoghe svolte per committenti privati;</w:t>
      </w:r>
    </w:p>
    <w:p w14:paraId="4806505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altro: __________________________________________.</w:t>
      </w:r>
    </w:p>
    <w:p w14:paraId="354441B7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Numero minimo di anni di esperienza suggerito:</w:t>
      </w:r>
      <w:r w:rsidRPr="001F02D4">
        <w:t xml:space="preserve"> __________</w:t>
      </w:r>
    </w:p>
    <w:p w14:paraId="1699E0DA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Numero / valore minimo di servizi analoghi suggerito:</w:t>
      </w:r>
    </w:p>
    <w:p w14:paraId="2853B6BB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540A2B4">
          <v:rect id="_x0000_i1081" style="width:0;height:1.5pt" o:hralign="center" o:hrstd="t" o:hr="t" fillcolor="#a0a0a0" stroked="f"/>
        </w:pict>
      </w:r>
    </w:p>
    <w:p w14:paraId="2E95EBDE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Eventuali ulteriori requisiti:</w:t>
      </w:r>
    </w:p>
    <w:p w14:paraId="4886658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BAEBB04">
          <v:rect id="_x0000_i1082" style="width:0;height:1.5pt" o:hralign="center" o:hrstd="t" o:hr="t" fillcolor="#a0a0a0" stroked="f"/>
        </w:pict>
      </w:r>
    </w:p>
    <w:p w14:paraId="66F11F77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9496A4F">
          <v:rect id="_x0000_i1083" style="width:0;height:1.5pt" o:hralign="center" o:hrstd="t" o:hr="t" fillcolor="#a0a0a0" stroked="f"/>
        </w:pict>
      </w:r>
    </w:p>
    <w:p w14:paraId="4B510001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E.2 – Capacità economico-finanziaria</w:t>
      </w:r>
    </w:p>
    <w:p w14:paraId="7D7A1627" w14:textId="77777777" w:rsidR="001F02D4" w:rsidRPr="001F02D4" w:rsidRDefault="001F02D4" w:rsidP="001F02D4">
      <w:pPr>
        <w:pStyle w:val="NormaleWeb"/>
      </w:pPr>
      <w:r w:rsidRPr="001F02D4">
        <w:t>Quali indicatori sarebbero, a giudizio dell'operatore, coerenti e proporzionati rispetto alla futura concessione?</w:t>
      </w:r>
    </w:p>
    <w:p w14:paraId="4FB0D6AB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lastRenderedPageBreak/>
        <w:t>Fatturato globale minimo:</w:t>
      </w:r>
      <w:r w:rsidRPr="001F02D4">
        <w:br/>
        <w:t>€ __________________________</w:t>
      </w:r>
    </w:p>
    <w:p w14:paraId="4E284BBE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Fatturato specifico nel settore:</w:t>
      </w:r>
      <w:r w:rsidRPr="001F02D4">
        <w:br/>
        <w:t>€ __________________________</w:t>
      </w:r>
    </w:p>
    <w:p w14:paraId="7AEE87E5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Eventuali referenze bancarie:</w:t>
      </w:r>
    </w:p>
    <w:p w14:paraId="2BE04E2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0803B14">
          <v:rect id="_x0000_i1084" style="width:0;height:1.5pt" o:hralign="center" o:hrstd="t" o:hr="t" fillcolor="#a0a0a0" stroked="f"/>
        </w:pict>
      </w:r>
    </w:p>
    <w:p w14:paraId="57233902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Altri parametri economico-finanziari suggeriti:</w:t>
      </w:r>
    </w:p>
    <w:p w14:paraId="7D4EF1D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2675B11">
          <v:rect id="_x0000_i1085" style="width:0;height:1.5pt" o:hralign="center" o:hrstd="t" o:hr="t" fillcolor="#a0a0a0" stroked="f"/>
        </w:pict>
      </w:r>
    </w:p>
    <w:p w14:paraId="589FD4F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21D44C3">
          <v:rect id="_x0000_i1086" style="width:0;height:1.5pt" o:hralign="center" o:hrstd="t" o:hr="t" fillcolor="#a0a0a0" stroked="f"/>
        </w:pict>
      </w:r>
    </w:p>
    <w:p w14:paraId="06B8D854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7E3BF6A">
          <v:rect id="_x0000_i1087" style="width:0;height:1.5pt" o:hralign="center" o:hrstd="t" o:hr="t" fillcolor="#a0a0a0" stroked="f"/>
        </w:pict>
      </w:r>
    </w:p>
    <w:p w14:paraId="7C4FB985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E.3 – Configurazione unitaria dell'affidamento</w:t>
      </w:r>
    </w:p>
    <w:p w14:paraId="198D2D90" w14:textId="77777777" w:rsidR="001F02D4" w:rsidRPr="001F02D4" w:rsidRDefault="001F02D4" w:rsidP="001F02D4">
      <w:pPr>
        <w:pStyle w:val="NormaleWeb"/>
      </w:pPr>
      <w:r w:rsidRPr="001F02D4">
        <w:t>La gestione unitaria di progettazione, fornitura, installazione, manutenzione e gestione economica degli spazi pubblicitari è ritenuta:</w:t>
      </w:r>
    </w:p>
    <w:p w14:paraId="5819A5B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adeguata ed efficiente;</w:t>
      </w:r>
    </w:p>
    <w:p w14:paraId="6AF7EE84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adeguata ma migliorabile;</w:t>
      </w:r>
    </w:p>
    <w:p w14:paraId="44863A42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eccessivamente ampia;</w:t>
      </w:r>
    </w:p>
    <w:p w14:paraId="6C75DD0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preferibile rispetto a una suddivisione;</w:t>
      </w:r>
    </w:p>
    <w:p w14:paraId="00AC3FD7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sarebbe preferibile una diversa articolazione;</w:t>
      </w:r>
    </w:p>
    <w:p w14:paraId="6B19D1E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non si esprime.</w:t>
      </w:r>
    </w:p>
    <w:p w14:paraId="5895761C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Eventuale proposta di diversa articolazione e relative motivazioni:</w:t>
      </w:r>
    </w:p>
    <w:p w14:paraId="78E0FF96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733166F">
          <v:rect id="_x0000_i1088" style="width:0;height:1.5pt" o:hralign="center" o:hrstd="t" o:hr="t" fillcolor="#a0a0a0" stroked="f"/>
        </w:pict>
      </w:r>
    </w:p>
    <w:p w14:paraId="6ABA218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DF05A65">
          <v:rect id="_x0000_i1089" style="width:0;height:1.5pt" o:hralign="center" o:hrstd="t" o:hr="t" fillcolor="#a0a0a0" stroked="f"/>
        </w:pict>
      </w:r>
    </w:p>
    <w:p w14:paraId="01A4A0E5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8C8A5C4">
          <v:rect id="_x0000_i1090" style="width:0;height:1.5pt" o:hralign="center" o:hrstd="t" o:hr="t" fillcolor="#a0a0a0" stroked="f"/>
        </w:pict>
      </w:r>
    </w:p>
    <w:p w14:paraId="23BD1FC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lastRenderedPageBreak/>
        <w:pict w14:anchorId="648C1835">
          <v:rect id="_x0000_i1091" style="width:0;height:1.5pt" o:hralign="center" o:hrstd="t" o:hr="t" fillcolor="#a0a0a0" stroked="f"/>
        </w:pict>
      </w:r>
    </w:p>
    <w:p w14:paraId="2979AE34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F. FATTORI DI RISCHIO E APPETIBILITÀ DELLA FUTURA GARA</w:t>
      </w:r>
    </w:p>
    <w:p w14:paraId="3C1CBEBF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F.1 – Principali elementi che potrebbero determinare la mancata partecipazione</w:t>
      </w:r>
    </w:p>
    <w:p w14:paraId="35CE69E9" w14:textId="77777777" w:rsidR="001F02D4" w:rsidRPr="001F02D4" w:rsidRDefault="001F02D4" w:rsidP="001F02D4">
      <w:pPr>
        <w:pStyle w:val="NormaleWeb"/>
      </w:pPr>
      <w:r w:rsidRPr="001F02D4">
        <w:t xml:space="preserve">Indicare, in ordine di importanza, i principali fattori che potrebbero indurre l'operatore a </w:t>
      </w:r>
      <w:r w:rsidRPr="001F02D4">
        <w:rPr>
          <w:rStyle w:val="Enfasigrassetto"/>
        </w:rPr>
        <w:t>non presentare offerta</w:t>
      </w:r>
      <w:r w:rsidRPr="001F02D4">
        <w:t xml:space="preserve"> nella futura gara.</w:t>
      </w:r>
    </w:p>
    <w:p w14:paraId="4AC1DA93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1.</w:t>
      </w:r>
      <w:r w:rsidRPr="001F02D4">
        <w:t xml:space="preserve"> ________________________________________________________________</w:t>
      </w:r>
    </w:p>
    <w:p w14:paraId="09EB0575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2.</w:t>
      </w:r>
      <w:r w:rsidRPr="001F02D4">
        <w:t xml:space="preserve"> ________________________________________________________________</w:t>
      </w:r>
    </w:p>
    <w:p w14:paraId="183D1AFE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3.</w:t>
      </w:r>
      <w:r w:rsidRPr="001F02D4">
        <w:t xml:space="preserve"> ________________________________________________________________</w:t>
      </w:r>
    </w:p>
    <w:p w14:paraId="7B4152AB" w14:textId="77777777" w:rsidR="001F02D4" w:rsidRPr="001F02D4" w:rsidRDefault="001F02D4" w:rsidP="001F02D4">
      <w:pPr>
        <w:pStyle w:val="NormaleWeb"/>
      </w:pPr>
      <w:r w:rsidRPr="001F02D4">
        <w:t>Ulteriori fattori:</w:t>
      </w:r>
    </w:p>
    <w:p w14:paraId="140D668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D899872">
          <v:rect id="_x0000_i1092" style="width:0;height:1.5pt" o:hralign="center" o:hrstd="t" o:hr="t" fillcolor="#a0a0a0" stroked="f"/>
        </w:pict>
      </w:r>
    </w:p>
    <w:p w14:paraId="61222A6B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2AA3C88">
          <v:rect id="_x0000_i1093" style="width:0;height:1.5pt" o:hralign="center" o:hrstd="t" o:hr="t" fillcolor="#a0a0a0" stroked="f"/>
        </w:pict>
      </w:r>
    </w:p>
    <w:p w14:paraId="76C2369D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7E115A1">
          <v:rect id="_x0000_i1094" style="width:0;height:1.5pt" o:hralign="center" o:hrstd="t" o:hr="t" fillcolor="#a0a0a0" stroked="f"/>
        </w:pict>
      </w:r>
    </w:p>
    <w:p w14:paraId="13B62CE2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F.2 – Valutazione dei principali elementi</w:t>
      </w:r>
    </w:p>
    <w:p w14:paraId="4EE499B7" w14:textId="77777777" w:rsidR="001F02D4" w:rsidRPr="001F02D4" w:rsidRDefault="001F02D4" w:rsidP="001F02D4">
      <w:pPr>
        <w:pStyle w:val="NormaleWeb"/>
      </w:pPr>
      <w:r w:rsidRPr="001F02D4">
        <w:t>Per ciascuno dei seguenti elementi indicare il livello di criticità.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7"/>
        <w:gridCol w:w="932"/>
        <w:gridCol w:w="1033"/>
        <w:gridCol w:w="718"/>
        <w:gridCol w:w="2288"/>
      </w:tblGrid>
      <w:tr w:rsidR="001F02D4" w:rsidRPr="001F02D4" w14:paraId="7432B4B8" w14:textId="77777777" w:rsidTr="001F02D4">
        <w:trPr>
          <w:tblHeader/>
          <w:tblCellSpacing w:w="15" w:type="dxa"/>
        </w:trPr>
        <w:tc>
          <w:tcPr>
            <w:tcW w:w="2374" w:type="pct"/>
            <w:vAlign w:val="center"/>
            <w:hideMark/>
          </w:tcPr>
          <w:p w14:paraId="32E9E37D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Elemento</w:t>
            </w:r>
          </w:p>
        </w:tc>
        <w:tc>
          <w:tcPr>
            <w:tcW w:w="465" w:type="pct"/>
            <w:vAlign w:val="center"/>
            <w:hideMark/>
          </w:tcPr>
          <w:p w14:paraId="51C8FC5D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Bassa</w:t>
            </w:r>
          </w:p>
        </w:tc>
        <w:tc>
          <w:tcPr>
            <w:tcW w:w="516" w:type="pct"/>
            <w:vAlign w:val="center"/>
            <w:hideMark/>
          </w:tcPr>
          <w:p w14:paraId="26866057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</w:t>
            </w:r>
          </w:p>
        </w:tc>
        <w:tc>
          <w:tcPr>
            <w:tcW w:w="354" w:type="pct"/>
            <w:vAlign w:val="center"/>
            <w:hideMark/>
          </w:tcPr>
          <w:p w14:paraId="0C2ABA4F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Alta</w:t>
            </w:r>
          </w:p>
        </w:tc>
        <w:tc>
          <w:tcPr>
            <w:tcW w:w="1154" w:type="pct"/>
            <w:vAlign w:val="center"/>
            <w:hideMark/>
          </w:tcPr>
          <w:p w14:paraId="5E3A0DDD" w14:textId="77777777" w:rsidR="001F02D4" w:rsidRPr="001F02D4" w:rsidRDefault="001F0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 valutabile</w:t>
            </w:r>
          </w:p>
        </w:tc>
      </w:tr>
      <w:tr w:rsidR="001F02D4" w:rsidRPr="001F02D4" w14:paraId="3802DE4E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584BE41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Durata della concessione</w:t>
            </w:r>
          </w:p>
        </w:tc>
        <w:tc>
          <w:tcPr>
            <w:tcW w:w="465" w:type="pct"/>
            <w:vAlign w:val="center"/>
            <w:hideMark/>
          </w:tcPr>
          <w:p w14:paraId="727A19E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51407AB3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31AFFF78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47E85B4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6CDD6C4B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6117278E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Investimento iniziale</w:t>
            </w:r>
          </w:p>
        </w:tc>
        <w:tc>
          <w:tcPr>
            <w:tcW w:w="465" w:type="pct"/>
            <w:vAlign w:val="center"/>
            <w:hideMark/>
          </w:tcPr>
          <w:p w14:paraId="50556EE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788C07C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2F134D2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1283FF1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54D78DA9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059064C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Quantità di arredi richiesti</w:t>
            </w:r>
          </w:p>
        </w:tc>
        <w:tc>
          <w:tcPr>
            <w:tcW w:w="465" w:type="pct"/>
            <w:vAlign w:val="center"/>
            <w:hideMark/>
          </w:tcPr>
          <w:p w14:paraId="0F76A63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55D3853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2EAA64C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59E8D8F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4E5DC31C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6C626CC0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Potenziale mercato pubblicitario</w:t>
            </w:r>
          </w:p>
        </w:tc>
        <w:tc>
          <w:tcPr>
            <w:tcW w:w="465" w:type="pct"/>
            <w:vAlign w:val="center"/>
            <w:hideMark/>
          </w:tcPr>
          <w:p w14:paraId="16F2F238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01431A8D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065E3C4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683B84AD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543EFE1D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7E12F71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Canone Unico Patrimoniale</w:t>
            </w:r>
          </w:p>
        </w:tc>
        <w:tc>
          <w:tcPr>
            <w:tcW w:w="465" w:type="pct"/>
            <w:vAlign w:val="center"/>
            <w:hideMark/>
          </w:tcPr>
          <w:p w14:paraId="389E191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2435DC1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4148B8BE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1DE423D2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7AA065C3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0FA77BAD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Costi manutentivi</w:t>
            </w:r>
          </w:p>
        </w:tc>
        <w:tc>
          <w:tcPr>
            <w:tcW w:w="465" w:type="pct"/>
            <w:vAlign w:val="center"/>
            <w:hideMark/>
          </w:tcPr>
          <w:p w14:paraId="274046DC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67EB2370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42BB5E6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2921394F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2BDA7AC2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766CD06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Rischio vandalismi</w:t>
            </w:r>
          </w:p>
        </w:tc>
        <w:tc>
          <w:tcPr>
            <w:tcW w:w="465" w:type="pct"/>
            <w:vAlign w:val="center"/>
            <w:hideMark/>
          </w:tcPr>
          <w:p w14:paraId="478465F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3D48D7D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2E8D8A3B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06FCD094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2AF234CF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77A438C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Tempi di realizzazione</w:t>
            </w:r>
          </w:p>
        </w:tc>
        <w:tc>
          <w:tcPr>
            <w:tcW w:w="465" w:type="pct"/>
            <w:vAlign w:val="center"/>
            <w:hideMark/>
          </w:tcPr>
          <w:p w14:paraId="7222C4A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3ADFAB90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31C58C4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02A2646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0477F2BD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28E0B2EF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Autorizzazioni e localizzazioni</w:t>
            </w:r>
          </w:p>
        </w:tc>
        <w:tc>
          <w:tcPr>
            <w:tcW w:w="465" w:type="pct"/>
            <w:vAlign w:val="center"/>
            <w:hideMark/>
          </w:tcPr>
          <w:p w14:paraId="4F3D3B1D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7B119B8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6D887BA2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27FBDDC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22C793A0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08A7EF2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Requisiti di partecipazione</w:t>
            </w:r>
          </w:p>
        </w:tc>
        <w:tc>
          <w:tcPr>
            <w:tcW w:w="465" w:type="pct"/>
            <w:vAlign w:val="center"/>
            <w:hideMark/>
          </w:tcPr>
          <w:p w14:paraId="2D8EE212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5D838EC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1B0931A6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4AC2807A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6AA69049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5D7729A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Garanzie richieste</w:t>
            </w:r>
          </w:p>
        </w:tc>
        <w:tc>
          <w:tcPr>
            <w:tcW w:w="465" w:type="pct"/>
            <w:vAlign w:val="center"/>
            <w:hideMark/>
          </w:tcPr>
          <w:p w14:paraId="3F85E54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0EB9A71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034AFB97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6EA27D1C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1F02D4" w:rsidRPr="001F02D4" w14:paraId="57DF19DA" w14:textId="77777777" w:rsidTr="001F02D4">
        <w:trPr>
          <w:tblCellSpacing w:w="15" w:type="dxa"/>
        </w:trPr>
        <w:tc>
          <w:tcPr>
            <w:tcW w:w="2374" w:type="pct"/>
            <w:vAlign w:val="center"/>
            <w:hideMark/>
          </w:tcPr>
          <w:p w14:paraId="12FA2DB1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Times New Roman" w:hAnsi="Times New Roman" w:cs="Times New Roman"/>
                <w:sz w:val="24"/>
                <w:szCs w:val="24"/>
              </w:rPr>
              <w:t>Complessità amministrativa</w:t>
            </w:r>
          </w:p>
        </w:tc>
        <w:tc>
          <w:tcPr>
            <w:tcW w:w="465" w:type="pct"/>
            <w:vAlign w:val="center"/>
            <w:hideMark/>
          </w:tcPr>
          <w:p w14:paraId="22B7ABBB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6" w:type="pct"/>
            <w:vAlign w:val="center"/>
            <w:hideMark/>
          </w:tcPr>
          <w:p w14:paraId="7B43E2E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54" w:type="pct"/>
            <w:vAlign w:val="center"/>
            <w:hideMark/>
          </w:tcPr>
          <w:p w14:paraId="766473B5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54" w:type="pct"/>
            <w:vAlign w:val="center"/>
            <w:hideMark/>
          </w:tcPr>
          <w:p w14:paraId="06B7E529" w14:textId="77777777" w:rsidR="001F02D4" w:rsidRPr="001F02D4" w:rsidRDefault="001F0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D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24EFB6B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107B4BA">
          <v:rect id="_x0000_i1095" style="width:0;height:1.5pt" o:hralign="center" o:hrstd="t" o:hr="t" fillcolor="#a0a0a0" stroked="f"/>
        </w:pict>
      </w:r>
    </w:p>
    <w:p w14:paraId="1B420B6A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F.3 – Condizioni che aumenterebbero la partecipazione</w:t>
      </w:r>
    </w:p>
    <w:p w14:paraId="4FBC8F10" w14:textId="77777777" w:rsidR="001F02D4" w:rsidRPr="001F02D4" w:rsidRDefault="001F02D4" w:rsidP="001F02D4">
      <w:pPr>
        <w:pStyle w:val="NormaleWeb"/>
      </w:pPr>
      <w:r w:rsidRPr="001F02D4">
        <w:t>Indicare le modifiche o condizioni che, senza alterare l'interesse pubblico perseguito dal Comune, potrebbero incrementare maggiormente l'appetibilità e la contendibilità della futura procedura:</w:t>
      </w:r>
    </w:p>
    <w:p w14:paraId="0FC9437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FAD2B58">
          <v:rect id="_x0000_i1096" style="width:0;height:1.5pt" o:hralign="center" o:hrstd="t" o:hr="t" fillcolor="#a0a0a0" stroked="f"/>
        </w:pict>
      </w:r>
    </w:p>
    <w:p w14:paraId="372CE55F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1164BEC4">
          <v:rect id="_x0000_i1097" style="width:0;height:1.5pt" o:hralign="center" o:hrstd="t" o:hr="t" fillcolor="#a0a0a0" stroked="f"/>
        </w:pict>
      </w:r>
    </w:p>
    <w:p w14:paraId="5068448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0F718FA">
          <v:rect id="_x0000_i1098" style="width:0;height:1.5pt" o:hralign="center" o:hrstd="t" o:hr="t" fillcolor="#a0a0a0" stroked="f"/>
        </w:pict>
      </w:r>
    </w:p>
    <w:p w14:paraId="4B18DE48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2861C5F">
          <v:rect id="_x0000_i1099" style="width:0;height:1.5pt" o:hralign="center" o:hrstd="t" o:hr="t" fillcolor="#a0a0a0" stroked="f"/>
        </w:pict>
      </w:r>
    </w:p>
    <w:p w14:paraId="14144CB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DFB0B0D">
          <v:rect id="_x0000_i1100" style="width:0;height:1.5pt" o:hralign="center" o:hrstd="t" o:hr="t" fillcolor="#a0a0a0" stroked="f"/>
        </w:pict>
      </w:r>
    </w:p>
    <w:p w14:paraId="69CF08A7" w14:textId="77777777" w:rsidR="001F02D4" w:rsidRPr="001F02D4" w:rsidRDefault="001F02D4" w:rsidP="001F02D4">
      <w:pPr>
        <w:pStyle w:val="Titolo2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F.4 – Informazioni necessarie nella futura gara</w:t>
      </w:r>
    </w:p>
    <w:p w14:paraId="468BCD27" w14:textId="77777777" w:rsidR="001F02D4" w:rsidRPr="001F02D4" w:rsidRDefault="001F02D4" w:rsidP="001F02D4">
      <w:pPr>
        <w:pStyle w:val="NormaleWeb"/>
      </w:pPr>
      <w:r w:rsidRPr="001F02D4">
        <w:t>Quali ulteriori informazioni o documenti dovrebbero essere messi a disposizione nella futura procedura affinché gli operatori possano formulare un'offerta tecnica ed economica consapevole?</w:t>
      </w:r>
    </w:p>
    <w:p w14:paraId="7C4A2CE0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localizzazione puntuale degli impianti;</w:t>
      </w:r>
    </w:p>
    <w:p w14:paraId="44A89A2A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planimetrie;</w:t>
      </w:r>
    </w:p>
    <w:p w14:paraId="132F22CA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dati sui flussi di traffico;</w:t>
      </w:r>
    </w:p>
    <w:p w14:paraId="12565795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dati sui flussi pedonali;</w:t>
      </w:r>
    </w:p>
    <w:p w14:paraId="156AAB73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inventario degli impianti pubblicitari esistenti;</w:t>
      </w:r>
    </w:p>
    <w:p w14:paraId="384016B9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dati storici sulle entrate pubblicitarie;</w:t>
      </w:r>
    </w:p>
    <w:p w14:paraId="0DB476A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tariffe del Canone Unico Patrimoniale;</w:t>
      </w:r>
    </w:p>
    <w:p w14:paraId="5F39788D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superficie pubblicitaria disponibile;</w:t>
      </w:r>
    </w:p>
    <w:p w14:paraId="3AD2B1C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prescrizioni del Piano Generale degli Impianti Pubblicitari;</w:t>
      </w:r>
    </w:p>
    <w:p w14:paraId="3FFB297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vincoli urbanistici, stradali e paesaggistici;</w:t>
      </w:r>
    </w:p>
    <w:p w14:paraId="21726B9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dati relativi agli allacciamenti elettrici;</w:t>
      </w:r>
    </w:p>
    <w:p w14:paraId="3D970E0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altra documentazione: __________________________________________.</w:t>
      </w:r>
    </w:p>
    <w:p w14:paraId="6702BC0C" w14:textId="77777777" w:rsidR="001F02D4" w:rsidRPr="001F02D4" w:rsidRDefault="001F02D4" w:rsidP="001F02D4">
      <w:pPr>
        <w:pStyle w:val="NormaleWeb"/>
      </w:pPr>
      <w:r w:rsidRPr="001F02D4">
        <w:t>Specificare eventuali esigenze:</w:t>
      </w:r>
    </w:p>
    <w:p w14:paraId="6EF50275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2E3E7D0">
          <v:rect id="_x0000_i1101" style="width:0;height:1.5pt" o:hralign="center" o:hrstd="t" o:hr="t" fillcolor="#a0a0a0" stroked="f"/>
        </w:pict>
      </w:r>
    </w:p>
    <w:p w14:paraId="486C242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C40EB4F">
          <v:rect id="_x0000_i1102" style="width:0;height:1.5pt" o:hralign="center" o:hrstd="t" o:hr="t" fillcolor="#a0a0a0" stroked="f"/>
        </w:pict>
      </w:r>
    </w:p>
    <w:p w14:paraId="77B3204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18FF9E3">
          <v:rect id="_x0000_i1103" style="width:0;height:1.5pt" o:hralign="center" o:hrstd="t" o:hr="t" fillcolor="#a0a0a0" stroked="f"/>
        </w:pict>
      </w:r>
    </w:p>
    <w:p w14:paraId="2DE9AA78" w14:textId="77777777" w:rsidR="001F02D4" w:rsidRPr="001F02D4" w:rsidRDefault="001F02D4" w:rsidP="001F02D4">
      <w:pPr>
        <w:pStyle w:val="Titolo1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G. VALUTAZIONE CONCLUSIVA</w:t>
      </w:r>
    </w:p>
    <w:p w14:paraId="783D8872" w14:textId="77777777" w:rsidR="001F02D4" w:rsidRPr="001F02D4" w:rsidRDefault="001F02D4" w:rsidP="001F02D4">
      <w:pPr>
        <w:pStyle w:val="NormaleWeb"/>
      </w:pPr>
      <w:r w:rsidRPr="001F02D4">
        <w:t>Alla luce della documentazione resa disponibile e delle considerazioni espresse nel presente questionario, l'operatore economico dichiara che:</w:t>
      </w:r>
    </w:p>
    <w:p w14:paraId="6BA868D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valuterebbe concretamente la partecipazione alla futura gara nella configurazione attualmente proposta;</w:t>
      </w:r>
    </w:p>
    <w:p w14:paraId="36CBAC0B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lastRenderedPageBreak/>
        <w:t>☐</w:t>
      </w:r>
      <w:r w:rsidRPr="001F02D4">
        <w:t xml:space="preserve"> </w:t>
      </w:r>
      <w:r w:rsidRPr="001F02D4">
        <w:rPr>
          <w:rStyle w:val="Enfasigrassetto"/>
        </w:rPr>
        <w:t>valuterebbe concretamente la partecipazione alla futura gara qualora fossero recepite alcune delle modifiche indicate nel presente questionario;</w:t>
      </w:r>
    </w:p>
    <w:p w14:paraId="3E940008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valuterebbe la partecipazione soltanto a seguito di una significativa revisione della configurazione economica e/o tecnica;</w:t>
      </w:r>
    </w:p>
    <w:p w14:paraId="4ED20B2C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non ritiene sostenibile o appetibile la configurazione attuale;</w:t>
      </w:r>
    </w:p>
    <w:p w14:paraId="6B036FC6" w14:textId="77777777" w:rsidR="001F02D4" w:rsidRPr="001F02D4" w:rsidRDefault="001F02D4" w:rsidP="001F02D4">
      <w:pPr>
        <w:pStyle w:val="NormaleWeb"/>
      </w:pPr>
      <w:r w:rsidRPr="001F02D4">
        <w:rPr>
          <w:rFonts w:ascii="Segoe UI Symbol" w:hAnsi="Segoe UI Symbol" w:cs="Segoe UI Symbol"/>
        </w:rPr>
        <w:t>☐</w:t>
      </w:r>
      <w:r w:rsidRPr="001F02D4">
        <w:t xml:space="preserve"> </w:t>
      </w:r>
      <w:r w:rsidRPr="001F02D4">
        <w:rPr>
          <w:rStyle w:val="Enfasigrassetto"/>
        </w:rPr>
        <w:t>non dispone al momento di elementi sufficienti per assumere una posizione.</w:t>
      </w:r>
    </w:p>
    <w:p w14:paraId="7DE3E222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Elemento principale che potrebbe determinare la decisione di partecipare o non partecipare</w:t>
      </w:r>
    </w:p>
    <w:p w14:paraId="2A671F1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B72382D">
          <v:rect id="_x0000_i1104" style="width:0;height:1.5pt" o:hralign="center" o:hrstd="t" o:hr="t" fillcolor="#a0a0a0" stroked="f"/>
        </w:pict>
      </w:r>
    </w:p>
    <w:p w14:paraId="511FE4F5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7E217D2">
          <v:rect id="_x0000_i1105" style="width:0;height:1.5pt" o:hralign="center" o:hrstd="t" o:hr="t" fillcolor="#a0a0a0" stroked="f"/>
        </w:pict>
      </w:r>
    </w:p>
    <w:p w14:paraId="4F9F68AA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Ulteriori osservazioni, suggerimenti o proposte</w:t>
      </w:r>
    </w:p>
    <w:p w14:paraId="317F1D8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7B8CEB2">
          <v:rect id="_x0000_i1106" style="width:0;height:1.5pt" o:hralign="center" o:hrstd="t" o:hr="t" fillcolor="#a0a0a0" stroked="f"/>
        </w:pict>
      </w:r>
    </w:p>
    <w:p w14:paraId="749D4AE3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37DE62B9">
          <v:rect id="_x0000_i1107" style="width:0;height:1.5pt" o:hralign="center" o:hrstd="t" o:hr="t" fillcolor="#a0a0a0" stroked="f"/>
        </w:pict>
      </w:r>
    </w:p>
    <w:p w14:paraId="514EEE29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697E27CD">
          <v:rect id="_x0000_i1108" style="width:0;height:1.5pt" o:hralign="center" o:hrstd="t" o:hr="t" fillcolor="#a0a0a0" stroked="f"/>
        </w:pict>
      </w:r>
    </w:p>
    <w:p w14:paraId="5C1372EF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27C9C016">
          <v:rect id="_x0000_i1109" style="width:0;height:1.5pt" o:hralign="center" o:hrstd="t" o:hr="t" fillcolor="#a0a0a0" stroked="f"/>
        </w:pict>
      </w:r>
    </w:p>
    <w:p w14:paraId="712D2512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1DAD2F4">
          <v:rect id="_x0000_i1110" style="width:0;height:1.5pt" o:hralign="center" o:hrstd="t" o:hr="t" fillcolor="#a0a0a0" stroked="f"/>
        </w:pict>
      </w:r>
    </w:p>
    <w:p w14:paraId="6BF4131B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Operatore economico:</w:t>
      </w:r>
    </w:p>
    <w:p w14:paraId="0D8DDE7C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42DB8EA4">
          <v:rect id="_x0000_i1111" style="width:0;height:1.5pt" o:hralign="center" o:hrstd="t" o:hr="t" fillcolor="#a0a0a0" stroked="f"/>
        </w:pict>
      </w:r>
    </w:p>
    <w:p w14:paraId="169CEF46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Legale rappresentante / soggetto munito dei necessari poteri:</w:t>
      </w:r>
    </w:p>
    <w:p w14:paraId="1D941B10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7BFC05AA">
          <v:rect id="_x0000_i1112" style="width:0;height:1.5pt" o:hralign="center" o:hrstd="t" o:hr="t" fillcolor="#a0a0a0" stroked="f"/>
        </w:pict>
      </w:r>
    </w:p>
    <w:p w14:paraId="55DEE4FE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t>Luogo e data:</w:t>
      </w:r>
    </w:p>
    <w:p w14:paraId="6303B63E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0E7244AB">
          <v:rect id="_x0000_i1113" style="width:0;height:1.5pt" o:hralign="center" o:hrstd="t" o:hr="t" fillcolor="#a0a0a0" stroked="f"/>
        </w:pict>
      </w:r>
    </w:p>
    <w:p w14:paraId="20735DCA" w14:textId="77777777" w:rsidR="001F02D4" w:rsidRPr="001F02D4" w:rsidRDefault="001F02D4" w:rsidP="001F02D4">
      <w:pPr>
        <w:pStyle w:val="Titolo3"/>
        <w:rPr>
          <w:rFonts w:ascii="Times New Roman" w:hAnsi="Times New Roman" w:cs="Times New Roman"/>
          <w:color w:val="auto"/>
          <w:sz w:val="24"/>
          <w:szCs w:val="24"/>
        </w:rPr>
      </w:pPr>
      <w:r w:rsidRPr="001F02D4">
        <w:rPr>
          <w:rFonts w:ascii="Times New Roman" w:hAnsi="Times New Roman" w:cs="Times New Roman"/>
          <w:color w:val="auto"/>
          <w:sz w:val="24"/>
          <w:szCs w:val="24"/>
        </w:rPr>
        <w:t>Firma digitale</w:t>
      </w:r>
    </w:p>
    <w:p w14:paraId="04E1CC21" w14:textId="77777777" w:rsidR="001F02D4" w:rsidRPr="001F02D4" w:rsidRDefault="001F02D4" w:rsidP="001F02D4">
      <w:pPr>
        <w:rPr>
          <w:rFonts w:ascii="Times New Roman" w:hAnsi="Times New Roman" w:cs="Times New Roman"/>
          <w:sz w:val="24"/>
          <w:szCs w:val="24"/>
        </w:rPr>
      </w:pPr>
      <w:r w:rsidRPr="001F02D4">
        <w:rPr>
          <w:rFonts w:ascii="Times New Roman" w:hAnsi="Times New Roman" w:cs="Times New Roman"/>
          <w:sz w:val="24"/>
          <w:szCs w:val="24"/>
        </w:rPr>
        <w:pict w14:anchorId="50C11BFA">
          <v:rect id="_x0000_i1114" style="width:0;height:1.5pt" o:hralign="center" o:hrstd="t" o:hr="t" fillcolor="#a0a0a0" stroked="f"/>
        </w:pict>
      </w:r>
    </w:p>
    <w:p w14:paraId="6560B4E0" w14:textId="77777777" w:rsidR="001F02D4" w:rsidRPr="001F02D4" w:rsidRDefault="001F02D4" w:rsidP="001F02D4">
      <w:pPr>
        <w:pStyle w:val="NormaleWeb"/>
      </w:pPr>
      <w:r w:rsidRPr="001F02D4">
        <w:rPr>
          <w:rStyle w:val="Enfasigrassetto"/>
        </w:rPr>
        <w:lastRenderedPageBreak/>
        <w:t>La compilazione e trasmissione del presente questionario non costituisce offerta, proposta contrattuale o impegno a partecipare alla futura procedura di affidamento.</w:t>
      </w:r>
    </w:p>
    <w:p w14:paraId="78234435" w14:textId="28759C1F" w:rsidR="00B74118" w:rsidRPr="001F02D4" w:rsidRDefault="00B74118" w:rsidP="00095D0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4118" w:rsidRPr="001F02D4" w:rsidSect="009760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053CA" w14:textId="77777777" w:rsidR="00CE4A27" w:rsidRDefault="00CE4A27" w:rsidP="00FE5BD2">
      <w:pPr>
        <w:spacing w:after="0" w:line="240" w:lineRule="auto"/>
      </w:pPr>
      <w:r>
        <w:separator/>
      </w:r>
    </w:p>
  </w:endnote>
  <w:endnote w:type="continuationSeparator" w:id="0">
    <w:p w14:paraId="281008A0" w14:textId="77777777" w:rsidR="00CE4A27" w:rsidRDefault="00CE4A27" w:rsidP="00FE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76BC8" w14:textId="77777777" w:rsidR="0018164F" w:rsidRDefault="001816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5D18A" w14:textId="1118CDCE" w:rsidR="00FE5BD2" w:rsidRDefault="00FE5BD2">
    <w:pPr>
      <w:pStyle w:val="Pidipagina"/>
      <w:jc w:val="right"/>
    </w:pPr>
  </w:p>
  <w:p w14:paraId="52E48501" w14:textId="77777777" w:rsidR="00FE5BD2" w:rsidRDefault="00FE5B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CDF6" w14:textId="77777777" w:rsidR="0018164F" w:rsidRDefault="001816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6A2CD" w14:textId="77777777" w:rsidR="00CE4A27" w:rsidRDefault="00CE4A27" w:rsidP="00FE5BD2">
      <w:pPr>
        <w:spacing w:after="0" w:line="240" w:lineRule="auto"/>
      </w:pPr>
      <w:r>
        <w:separator/>
      </w:r>
    </w:p>
  </w:footnote>
  <w:footnote w:type="continuationSeparator" w:id="0">
    <w:p w14:paraId="7D64BD36" w14:textId="77777777" w:rsidR="00CE4A27" w:rsidRDefault="00CE4A27" w:rsidP="00FE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2EDAF" w14:textId="77777777" w:rsidR="0018164F" w:rsidRDefault="001816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2FCBC" w14:textId="166941B0" w:rsidR="0000699E" w:rsidRPr="00FE5BD2" w:rsidRDefault="00FE5BD2" w:rsidP="0000699E">
    <w:pPr>
      <w:pStyle w:val="Intestazione"/>
      <w:jc w:val="center"/>
      <w:rPr>
        <w:rFonts w:ascii="Times New Roman" w:hAnsi="Times New Roman" w:cs="Times New Roman"/>
        <w:spacing w:val="48"/>
        <w:sz w:val="48"/>
        <w:szCs w:val="48"/>
      </w:rPr>
    </w:pPr>
    <w:r w:rsidRPr="00FB3504">
      <w:rPr>
        <w:rFonts w:ascii="Times New Roman" w:hAnsi="Times New Roman" w:cs="Times New Roman"/>
        <w:noProof/>
        <w:spacing w:val="62"/>
        <w:sz w:val="48"/>
        <w:szCs w:val="48"/>
        <w:lang w:eastAsia="it-IT"/>
      </w:rPr>
      <w:drawing>
        <wp:anchor distT="0" distB="0" distL="63500" distR="63500" simplePos="0" relativeHeight="251659264" behindDoc="1" locked="0" layoutInCell="1" allowOverlap="1" wp14:anchorId="3E75EA88" wp14:editId="4CB332AE">
          <wp:simplePos x="0" y="0"/>
          <wp:positionH relativeFrom="margin">
            <wp:posOffset>-148590</wp:posOffset>
          </wp:positionH>
          <wp:positionV relativeFrom="margin">
            <wp:posOffset>-1593850</wp:posOffset>
          </wp:positionV>
          <wp:extent cx="815340" cy="1171575"/>
          <wp:effectExtent l="19050" t="0" r="3810" b="0"/>
          <wp:wrapTight wrapText="bothSides">
            <wp:wrapPolygon edited="0">
              <wp:start x="-505" y="0"/>
              <wp:lineTo x="-505" y="21424"/>
              <wp:lineTo x="21701" y="21424"/>
              <wp:lineTo x="21701" y="0"/>
              <wp:lineTo x="-505" y="0"/>
            </wp:wrapPolygon>
          </wp:wrapTight>
          <wp:docPr id="12" name="Immagine 12" descr="C:\Users\ludeno\Desktop\media\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udeno\Desktop\media\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B3504">
      <w:rPr>
        <w:rFonts w:ascii="Times New Roman" w:hAnsi="Times New Roman" w:cs="Times New Roman"/>
        <w:spacing w:val="62"/>
        <w:sz w:val="48"/>
        <w:szCs w:val="48"/>
      </w:rPr>
      <w:t>C</w:t>
    </w:r>
    <w:r w:rsidR="0000699E" w:rsidRPr="00FB3504">
      <w:rPr>
        <w:rFonts w:ascii="Times New Roman" w:hAnsi="Times New Roman" w:cs="Times New Roman"/>
        <w:spacing w:val="62"/>
        <w:sz w:val="48"/>
        <w:szCs w:val="48"/>
      </w:rPr>
      <w:t>OMUNE</w:t>
    </w:r>
    <w:r w:rsidR="0000699E" w:rsidRPr="00FE5BD2">
      <w:rPr>
        <w:rFonts w:ascii="Times New Roman" w:hAnsi="Times New Roman" w:cs="Times New Roman"/>
        <w:spacing w:val="48"/>
        <w:sz w:val="48"/>
        <w:szCs w:val="48"/>
      </w:rPr>
      <w:t xml:space="preserve"> DI CAIVANO</w:t>
    </w:r>
  </w:p>
  <w:p w14:paraId="3F369189" w14:textId="77777777" w:rsidR="0000699E" w:rsidRPr="00FE5BD2" w:rsidRDefault="0000699E" w:rsidP="0000699E">
    <w:pPr>
      <w:pStyle w:val="Intestazione"/>
      <w:tabs>
        <w:tab w:val="left" w:pos="945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  <w:t xml:space="preserve">             </w:t>
    </w:r>
    <w:r w:rsidRPr="00FE5BD2">
      <w:rPr>
        <w:rFonts w:ascii="Times New Roman" w:hAnsi="Times New Roman" w:cs="Times New Roman"/>
      </w:rPr>
      <w:t>Città Metropolitana di Napoli</w:t>
    </w:r>
  </w:p>
  <w:p w14:paraId="2B7A1B6C" w14:textId="3F7190D1" w:rsidR="0000699E" w:rsidRPr="00DC5F75" w:rsidRDefault="003C18F5" w:rsidP="0000699E">
    <w:pPr>
      <w:pStyle w:val="Intestazione"/>
      <w:jc w:val="center"/>
      <w:rPr>
        <w:rFonts w:ascii="Times New Roman" w:hAnsi="Times New Roman" w:cs="Times New Roman"/>
        <w:sz w:val="36"/>
        <w:szCs w:val="36"/>
      </w:rPr>
    </w:pPr>
    <w:r>
      <w:rPr>
        <w:rFonts w:ascii="Times New Roman" w:hAnsi="Times New Roman" w:cs="Times New Roman"/>
        <w:sz w:val="36"/>
        <w:szCs w:val="36"/>
      </w:rPr>
      <w:t xml:space="preserve">IV </w:t>
    </w:r>
    <w:r w:rsidR="0000699E" w:rsidRPr="00BB08D1">
      <w:rPr>
        <w:rFonts w:ascii="Times New Roman" w:hAnsi="Times New Roman" w:cs="Times New Roman"/>
        <w:sz w:val="36"/>
        <w:szCs w:val="36"/>
      </w:rPr>
      <w:t>Settore</w:t>
    </w:r>
    <w:r w:rsidR="0000699E">
      <w:rPr>
        <w:rFonts w:ascii="Times New Roman" w:hAnsi="Times New Roman" w:cs="Times New Roman"/>
        <w:sz w:val="36"/>
        <w:szCs w:val="36"/>
      </w:rPr>
      <w:t xml:space="preserve"> </w:t>
    </w:r>
    <w:r w:rsidR="0000699E">
      <w:rPr>
        <w:rFonts w:ascii="Times New Roman" w:hAnsi="Times New Roman" w:cs="Times New Roman"/>
        <w:sz w:val="24"/>
        <w:szCs w:val="24"/>
      </w:rPr>
      <w:t xml:space="preserve">– </w:t>
    </w:r>
    <w:r w:rsidR="0000699E">
      <w:rPr>
        <w:rFonts w:ascii="Times New Roman" w:hAnsi="Times New Roman" w:cs="Times New Roman"/>
        <w:sz w:val="36"/>
        <w:szCs w:val="36"/>
      </w:rPr>
      <w:t>Lavori Pubblici, Manutenzione ed Espropri</w:t>
    </w:r>
    <w:r w:rsidR="0018164F">
      <w:rPr>
        <w:rFonts w:ascii="Times New Roman" w:hAnsi="Times New Roman" w:cs="Times New Roman"/>
        <w:sz w:val="36"/>
        <w:szCs w:val="36"/>
      </w:rPr>
      <w:t>, Patrimonio e Innovazione digitale</w:t>
    </w:r>
  </w:p>
  <w:p w14:paraId="067AD23C" w14:textId="77777777" w:rsidR="0000699E" w:rsidRDefault="0000699E" w:rsidP="0000699E">
    <w:pPr>
      <w:pStyle w:val="Intestazione"/>
      <w:jc w:val="center"/>
      <w:rPr>
        <w:rFonts w:ascii="Times New Roman" w:hAnsi="Times New Roman" w:cs="Times New Roman"/>
        <w:sz w:val="16"/>
        <w:szCs w:val="16"/>
      </w:rPr>
    </w:pPr>
    <w:r w:rsidRPr="00DC5F75">
      <w:rPr>
        <w:rFonts w:ascii="Times New Roman" w:hAnsi="Times New Roman" w:cs="Times New Roman"/>
        <w:sz w:val="16"/>
        <w:szCs w:val="16"/>
      </w:rPr>
      <w:t>via Marzano, 19 località Pascarola – 80023 Caivano (NA)</w:t>
    </w:r>
  </w:p>
  <w:p w14:paraId="30DFECAA" w14:textId="06B63058" w:rsidR="0000699E" w:rsidRDefault="0000699E" w:rsidP="0000699E">
    <w:pPr>
      <w:pStyle w:val="Intestazione"/>
      <w:jc w:val="center"/>
      <w:rPr>
        <w:rFonts w:ascii="Times New Roman" w:hAnsi="Times New Roman" w:cs="Times New Roman"/>
        <w:sz w:val="16"/>
        <w:szCs w:val="16"/>
      </w:rPr>
    </w:pPr>
    <w:r w:rsidRPr="00DC5F75">
      <w:rPr>
        <w:rFonts w:ascii="Times New Roman" w:hAnsi="Times New Roman" w:cs="Times New Roman"/>
        <w:sz w:val="16"/>
        <w:szCs w:val="16"/>
      </w:rPr>
      <w:t>C.F. 01144820634 – P.I</w:t>
    </w:r>
    <w:r>
      <w:rPr>
        <w:rFonts w:ascii="Times New Roman" w:hAnsi="Times New Roman" w:cs="Times New Roman"/>
        <w:sz w:val="16"/>
        <w:szCs w:val="16"/>
      </w:rPr>
      <w:t>VA</w:t>
    </w:r>
    <w:r w:rsidRPr="00DC5F75">
      <w:rPr>
        <w:rFonts w:ascii="Times New Roman" w:hAnsi="Times New Roman" w:cs="Times New Roman"/>
        <w:sz w:val="16"/>
        <w:szCs w:val="16"/>
      </w:rPr>
      <w:t xml:space="preserve"> 01252221211 – Codice univoco </w:t>
    </w:r>
    <w:r w:rsidRPr="0000699E">
      <w:rPr>
        <w:rFonts w:ascii="Times New Roman" w:hAnsi="Times New Roman" w:cs="Times New Roman"/>
        <w:sz w:val="16"/>
        <w:szCs w:val="16"/>
      </w:rPr>
      <w:t>R7GJDB</w:t>
    </w:r>
  </w:p>
  <w:p w14:paraId="1986F753" w14:textId="77777777" w:rsidR="0000699E" w:rsidRPr="00DC5F75" w:rsidRDefault="00CE4A27" w:rsidP="0000699E">
    <w:pPr>
      <w:pStyle w:val="Intestazione"/>
      <w:jc w:val="center"/>
      <w:rPr>
        <w:rFonts w:ascii="Times New Roman" w:hAnsi="Times New Roman" w:cs="Times New Roman"/>
        <w:sz w:val="20"/>
        <w:szCs w:val="20"/>
      </w:rPr>
    </w:pPr>
    <w:hyperlink r:id="rId2" w:history="1">
      <w:r w:rsidR="0000699E" w:rsidRPr="00DC5F75">
        <w:rPr>
          <w:rStyle w:val="Collegamentoipertestuale"/>
          <w:rFonts w:ascii="Times New Roman" w:hAnsi="Times New Roman" w:cs="Times New Roman"/>
          <w:sz w:val="20"/>
          <w:szCs w:val="20"/>
        </w:rPr>
        <w:t>protocollo.caivano@asmepec.it</w:t>
      </w:r>
    </w:hyperlink>
  </w:p>
  <w:p w14:paraId="36192B92" w14:textId="69CADC27" w:rsidR="00FE5BD2" w:rsidRPr="00FE5BD2" w:rsidRDefault="00FE5BD2" w:rsidP="0000699E">
    <w:pPr>
      <w:pStyle w:val="Intestazione"/>
      <w:jc w:val="center"/>
      <w:rPr>
        <w:rFonts w:ascii="Times New Roman" w:hAnsi="Times New Roman" w:cs="Times New Roman"/>
      </w:rPr>
    </w:pPr>
  </w:p>
  <w:p w14:paraId="7EA941D3" w14:textId="77777777" w:rsidR="00FE5BD2" w:rsidRDefault="00FE5BD2">
    <w:pPr>
      <w:pStyle w:val="Intestazione"/>
    </w:pPr>
    <w:r>
      <w:t>=======================================================================================</w:t>
    </w:r>
  </w:p>
  <w:p w14:paraId="3E4F27ED" w14:textId="77777777" w:rsidR="00FE5BD2" w:rsidRDefault="00FE5BD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A9090" w14:textId="77777777" w:rsidR="0018164F" w:rsidRDefault="001816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834A81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D627CB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92036"/>
    <w:multiLevelType w:val="multilevel"/>
    <w:tmpl w:val="BC5E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53EF8"/>
    <w:multiLevelType w:val="multilevel"/>
    <w:tmpl w:val="D460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03EB3"/>
    <w:multiLevelType w:val="multilevel"/>
    <w:tmpl w:val="0E0C6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C0B26"/>
    <w:multiLevelType w:val="multilevel"/>
    <w:tmpl w:val="DAF4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78195A"/>
    <w:multiLevelType w:val="multilevel"/>
    <w:tmpl w:val="B2E0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E4F8F"/>
    <w:multiLevelType w:val="multilevel"/>
    <w:tmpl w:val="EDF6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E09F6"/>
    <w:multiLevelType w:val="multilevel"/>
    <w:tmpl w:val="9E70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5E6190"/>
    <w:multiLevelType w:val="hybridMultilevel"/>
    <w:tmpl w:val="4872D398"/>
    <w:lvl w:ilvl="0" w:tplc="F83260C0">
      <w:start w:val="1"/>
      <w:numFmt w:val="lowerLetter"/>
      <w:lvlText w:val="%1)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3126E8DC">
      <w:numFmt w:val="bullet"/>
      <w:lvlText w:val="•"/>
      <w:lvlJc w:val="left"/>
      <w:pPr>
        <w:ind w:left="1147" w:hanging="286"/>
      </w:pPr>
      <w:rPr>
        <w:rFonts w:hint="default"/>
        <w:lang w:val="it-IT" w:eastAsia="en-US" w:bidi="ar-SA"/>
      </w:rPr>
    </w:lvl>
    <w:lvl w:ilvl="2" w:tplc="FE5C963A">
      <w:numFmt w:val="bullet"/>
      <w:lvlText w:val="•"/>
      <w:lvlJc w:val="left"/>
      <w:pPr>
        <w:ind w:left="2154" w:hanging="286"/>
      </w:pPr>
      <w:rPr>
        <w:rFonts w:hint="default"/>
        <w:lang w:val="it-IT" w:eastAsia="en-US" w:bidi="ar-SA"/>
      </w:rPr>
    </w:lvl>
    <w:lvl w:ilvl="3" w:tplc="AE4E8AA0">
      <w:numFmt w:val="bullet"/>
      <w:lvlText w:val="•"/>
      <w:lvlJc w:val="left"/>
      <w:pPr>
        <w:ind w:left="3161" w:hanging="286"/>
      </w:pPr>
      <w:rPr>
        <w:rFonts w:hint="default"/>
        <w:lang w:val="it-IT" w:eastAsia="en-US" w:bidi="ar-SA"/>
      </w:rPr>
    </w:lvl>
    <w:lvl w:ilvl="4" w:tplc="7FA20208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5" w:tplc="302EDB12">
      <w:numFmt w:val="bullet"/>
      <w:lvlText w:val="•"/>
      <w:lvlJc w:val="left"/>
      <w:pPr>
        <w:ind w:left="5175" w:hanging="286"/>
      </w:pPr>
      <w:rPr>
        <w:rFonts w:hint="default"/>
        <w:lang w:val="it-IT" w:eastAsia="en-US" w:bidi="ar-SA"/>
      </w:rPr>
    </w:lvl>
    <w:lvl w:ilvl="6" w:tplc="00249FF4">
      <w:numFmt w:val="bullet"/>
      <w:lvlText w:val="•"/>
      <w:lvlJc w:val="left"/>
      <w:pPr>
        <w:ind w:left="6182" w:hanging="286"/>
      </w:pPr>
      <w:rPr>
        <w:rFonts w:hint="default"/>
        <w:lang w:val="it-IT" w:eastAsia="en-US" w:bidi="ar-SA"/>
      </w:rPr>
    </w:lvl>
    <w:lvl w:ilvl="7" w:tplc="D4C88680">
      <w:numFmt w:val="bullet"/>
      <w:lvlText w:val="•"/>
      <w:lvlJc w:val="left"/>
      <w:pPr>
        <w:ind w:left="7189" w:hanging="286"/>
      </w:pPr>
      <w:rPr>
        <w:rFonts w:hint="default"/>
        <w:lang w:val="it-IT" w:eastAsia="en-US" w:bidi="ar-SA"/>
      </w:rPr>
    </w:lvl>
    <w:lvl w:ilvl="8" w:tplc="5D306966">
      <w:numFmt w:val="bullet"/>
      <w:lvlText w:val="•"/>
      <w:lvlJc w:val="left"/>
      <w:pPr>
        <w:ind w:left="8196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1AD76895"/>
    <w:multiLevelType w:val="multilevel"/>
    <w:tmpl w:val="EE50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B5352"/>
    <w:multiLevelType w:val="multilevel"/>
    <w:tmpl w:val="77E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F11D80"/>
    <w:multiLevelType w:val="multilevel"/>
    <w:tmpl w:val="FC94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5E250F"/>
    <w:multiLevelType w:val="multilevel"/>
    <w:tmpl w:val="D3E0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CE5CF0"/>
    <w:multiLevelType w:val="multilevel"/>
    <w:tmpl w:val="772E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FF0A7C"/>
    <w:multiLevelType w:val="multilevel"/>
    <w:tmpl w:val="EF7C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8559D3"/>
    <w:multiLevelType w:val="multilevel"/>
    <w:tmpl w:val="572CB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E845B7"/>
    <w:multiLevelType w:val="multilevel"/>
    <w:tmpl w:val="6A28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D54C66"/>
    <w:multiLevelType w:val="multilevel"/>
    <w:tmpl w:val="421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FC29FC"/>
    <w:multiLevelType w:val="multilevel"/>
    <w:tmpl w:val="BBDA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9E1693"/>
    <w:multiLevelType w:val="multilevel"/>
    <w:tmpl w:val="8FCC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1E28C5"/>
    <w:multiLevelType w:val="multilevel"/>
    <w:tmpl w:val="9294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4A285C"/>
    <w:multiLevelType w:val="multilevel"/>
    <w:tmpl w:val="14EE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CE44A6"/>
    <w:multiLevelType w:val="multilevel"/>
    <w:tmpl w:val="A63A7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A85866"/>
    <w:multiLevelType w:val="multilevel"/>
    <w:tmpl w:val="FA34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FF7ED4"/>
    <w:multiLevelType w:val="hybridMultilevel"/>
    <w:tmpl w:val="B7AAAE48"/>
    <w:lvl w:ilvl="0" w:tplc="7DBE7CBC">
      <w:start w:val="1"/>
      <w:numFmt w:val="lowerLetter"/>
      <w:lvlText w:val="%1)"/>
      <w:lvlJc w:val="left"/>
      <w:pPr>
        <w:ind w:left="14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C41E3AD8">
      <w:numFmt w:val="bullet"/>
      <w:lvlText w:val="•"/>
      <w:lvlJc w:val="left"/>
      <w:pPr>
        <w:ind w:left="1147" w:hanging="252"/>
      </w:pPr>
      <w:rPr>
        <w:rFonts w:hint="default"/>
        <w:lang w:val="it-IT" w:eastAsia="en-US" w:bidi="ar-SA"/>
      </w:rPr>
    </w:lvl>
    <w:lvl w:ilvl="2" w:tplc="CEECEA92">
      <w:numFmt w:val="bullet"/>
      <w:lvlText w:val="•"/>
      <w:lvlJc w:val="left"/>
      <w:pPr>
        <w:ind w:left="2154" w:hanging="252"/>
      </w:pPr>
      <w:rPr>
        <w:rFonts w:hint="default"/>
        <w:lang w:val="it-IT" w:eastAsia="en-US" w:bidi="ar-SA"/>
      </w:rPr>
    </w:lvl>
    <w:lvl w:ilvl="3" w:tplc="6BB0C5FA">
      <w:numFmt w:val="bullet"/>
      <w:lvlText w:val="•"/>
      <w:lvlJc w:val="left"/>
      <w:pPr>
        <w:ind w:left="3161" w:hanging="252"/>
      </w:pPr>
      <w:rPr>
        <w:rFonts w:hint="default"/>
        <w:lang w:val="it-IT" w:eastAsia="en-US" w:bidi="ar-SA"/>
      </w:rPr>
    </w:lvl>
    <w:lvl w:ilvl="4" w:tplc="7B560EE8">
      <w:numFmt w:val="bullet"/>
      <w:lvlText w:val="•"/>
      <w:lvlJc w:val="left"/>
      <w:pPr>
        <w:ind w:left="4168" w:hanging="252"/>
      </w:pPr>
      <w:rPr>
        <w:rFonts w:hint="default"/>
        <w:lang w:val="it-IT" w:eastAsia="en-US" w:bidi="ar-SA"/>
      </w:rPr>
    </w:lvl>
    <w:lvl w:ilvl="5" w:tplc="3E828E70">
      <w:numFmt w:val="bullet"/>
      <w:lvlText w:val="•"/>
      <w:lvlJc w:val="left"/>
      <w:pPr>
        <w:ind w:left="5175" w:hanging="252"/>
      </w:pPr>
      <w:rPr>
        <w:rFonts w:hint="default"/>
        <w:lang w:val="it-IT" w:eastAsia="en-US" w:bidi="ar-SA"/>
      </w:rPr>
    </w:lvl>
    <w:lvl w:ilvl="6" w:tplc="CE7851EA">
      <w:numFmt w:val="bullet"/>
      <w:lvlText w:val="•"/>
      <w:lvlJc w:val="left"/>
      <w:pPr>
        <w:ind w:left="6182" w:hanging="252"/>
      </w:pPr>
      <w:rPr>
        <w:rFonts w:hint="default"/>
        <w:lang w:val="it-IT" w:eastAsia="en-US" w:bidi="ar-SA"/>
      </w:rPr>
    </w:lvl>
    <w:lvl w:ilvl="7" w:tplc="0444E2CA">
      <w:numFmt w:val="bullet"/>
      <w:lvlText w:val="•"/>
      <w:lvlJc w:val="left"/>
      <w:pPr>
        <w:ind w:left="7189" w:hanging="252"/>
      </w:pPr>
      <w:rPr>
        <w:rFonts w:hint="default"/>
        <w:lang w:val="it-IT" w:eastAsia="en-US" w:bidi="ar-SA"/>
      </w:rPr>
    </w:lvl>
    <w:lvl w:ilvl="8" w:tplc="0FF0E4A2">
      <w:numFmt w:val="bullet"/>
      <w:lvlText w:val="•"/>
      <w:lvlJc w:val="left"/>
      <w:pPr>
        <w:ind w:left="8196" w:hanging="252"/>
      </w:pPr>
      <w:rPr>
        <w:rFonts w:hint="default"/>
        <w:lang w:val="it-IT" w:eastAsia="en-US" w:bidi="ar-SA"/>
      </w:rPr>
    </w:lvl>
  </w:abstractNum>
  <w:abstractNum w:abstractNumId="26" w15:restartNumberingAfterBreak="0">
    <w:nsid w:val="441A64BE"/>
    <w:multiLevelType w:val="hybridMultilevel"/>
    <w:tmpl w:val="84309D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33F0C"/>
    <w:multiLevelType w:val="hybridMultilevel"/>
    <w:tmpl w:val="06D0979A"/>
    <w:lvl w:ilvl="0" w:tplc="9CD66B46">
      <w:start w:val="1"/>
      <w:numFmt w:val="lowerLetter"/>
      <w:lvlText w:val="%1)"/>
      <w:lvlJc w:val="left"/>
      <w:pPr>
        <w:ind w:left="386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8104F30">
      <w:numFmt w:val="bullet"/>
      <w:lvlText w:val="•"/>
      <w:lvlJc w:val="left"/>
      <w:pPr>
        <w:ind w:left="1363" w:hanging="246"/>
      </w:pPr>
      <w:rPr>
        <w:rFonts w:hint="default"/>
        <w:lang w:val="it-IT" w:eastAsia="en-US" w:bidi="ar-SA"/>
      </w:rPr>
    </w:lvl>
    <w:lvl w:ilvl="2" w:tplc="4AB68F24">
      <w:numFmt w:val="bullet"/>
      <w:lvlText w:val="•"/>
      <w:lvlJc w:val="left"/>
      <w:pPr>
        <w:ind w:left="2346" w:hanging="246"/>
      </w:pPr>
      <w:rPr>
        <w:rFonts w:hint="default"/>
        <w:lang w:val="it-IT" w:eastAsia="en-US" w:bidi="ar-SA"/>
      </w:rPr>
    </w:lvl>
    <w:lvl w:ilvl="3" w:tplc="F000BAD6">
      <w:numFmt w:val="bullet"/>
      <w:lvlText w:val="•"/>
      <w:lvlJc w:val="left"/>
      <w:pPr>
        <w:ind w:left="3329" w:hanging="246"/>
      </w:pPr>
      <w:rPr>
        <w:rFonts w:hint="default"/>
        <w:lang w:val="it-IT" w:eastAsia="en-US" w:bidi="ar-SA"/>
      </w:rPr>
    </w:lvl>
    <w:lvl w:ilvl="4" w:tplc="4E66F94E">
      <w:numFmt w:val="bullet"/>
      <w:lvlText w:val="•"/>
      <w:lvlJc w:val="left"/>
      <w:pPr>
        <w:ind w:left="4312" w:hanging="246"/>
      </w:pPr>
      <w:rPr>
        <w:rFonts w:hint="default"/>
        <w:lang w:val="it-IT" w:eastAsia="en-US" w:bidi="ar-SA"/>
      </w:rPr>
    </w:lvl>
    <w:lvl w:ilvl="5" w:tplc="B59CCD10">
      <w:numFmt w:val="bullet"/>
      <w:lvlText w:val="•"/>
      <w:lvlJc w:val="left"/>
      <w:pPr>
        <w:ind w:left="5295" w:hanging="246"/>
      </w:pPr>
      <w:rPr>
        <w:rFonts w:hint="default"/>
        <w:lang w:val="it-IT" w:eastAsia="en-US" w:bidi="ar-SA"/>
      </w:rPr>
    </w:lvl>
    <w:lvl w:ilvl="6" w:tplc="9DFAFBDE">
      <w:numFmt w:val="bullet"/>
      <w:lvlText w:val="•"/>
      <w:lvlJc w:val="left"/>
      <w:pPr>
        <w:ind w:left="6278" w:hanging="246"/>
      </w:pPr>
      <w:rPr>
        <w:rFonts w:hint="default"/>
        <w:lang w:val="it-IT" w:eastAsia="en-US" w:bidi="ar-SA"/>
      </w:rPr>
    </w:lvl>
    <w:lvl w:ilvl="7" w:tplc="20DAAF22">
      <w:numFmt w:val="bullet"/>
      <w:lvlText w:val="•"/>
      <w:lvlJc w:val="left"/>
      <w:pPr>
        <w:ind w:left="7261" w:hanging="246"/>
      </w:pPr>
      <w:rPr>
        <w:rFonts w:hint="default"/>
        <w:lang w:val="it-IT" w:eastAsia="en-US" w:bidi="ar-SA"/>
      </w:rPr>
    </w:lvl>
    <w:lvl w:ilvl="8" w:tplc="272ADCB2">
      <w:numFmt w:val="bullet"/>
      <w:lvlText w:val="•"/>
      <w:lvlJc w:val="left"/>
      <w:pPr>
        <w:ind w:left="8244" w:hanging="246"/>
      </w:pPr>
      <w:rPr>
        <w:rFonts w:hint="default"/>
        <w:lang w:val="it-IT" w:eastAsia="en-US" w:bidi="ar-SA"/>
      </w:rPr>
    </w:lvl>
  </w:abstractNum>
  <w:abstractNum w:abstractNumId="28" w15:restartNumberingAfterBreak="0">
    <w:nsid w:val="54D0717C"/>
    <w:multiLevelType w:val="multilevel"/>
    <w:tmpl w:val="EDEC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575C97"/>
    <w:multiLevelType w:val="multilevel"/>
    <w:tmpl w:val="9AB8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9F16FF"/>
    <w:multiLevelType w:val="multilevel"/>
    <w:tmpl w:val="C644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C12589"/>
    <w:multiLevelType w:val="hybridMultilevel"/>
    <w:tmpl w:val="749CFD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76B0D"/>
    <w:multiLevelType w:val="multilevel"/>
    <w:tmpl w:val="6660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3185D"/>
    <w:multiLevelType w:val="multilevel"/>
    <w:tmpl w:val="B90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4A60EC"/>
    <w:multiLevelType w:val="multilevel"/>
    <w:tmpl w:val="F75A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323614"/>
    <w:multiLevelType w:val="multilevel"/>
    <w:tmpl w:val="A07C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E44B5A"/>
    <w:multiLevelType w:val="multilevel"/>
    <w:tmpl w:val="E664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934D1"/>
    <w:multiLevelType w:val="multilevel"/>
    <w:tmpl w:val="FAC4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B20745"/>
    <w:multiLevelType w:val="hybridMultilevel"/>
    <w:tmpl w:val="426A4C86"/>
    <w:lvl w:ilvl="0" w:tplc="0A665B5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E18F680">
      <w:numFmt w:val="bullet"/>
      <w:lvlText w:val="•"/>
      <w:lvlJc w:val="left"/>
      <w:pPr>
        <w:ind w:left="1795" w:hanging="360"/>
      </w:pPr>
      <w:rPr>
        <w:rFonts w:hint="default"/>
        <w:lang w:val="it-IT" w:eastAsia="en-US" w:bidi="ar-SA"/>
      </w:rPr>
    </w:lvl>
    <w:lvl w:ilvl="2" w:tplc="4A18CD60">
      <w:numFmt w:val="bullet"/>
      <w:lvlText w:val="•"/>
      <w:lvlJc w:val="left"/>
      <w:pPr>
        <w:ind w:left="2730" w:hanging="360"/>
      </w:pPr>
      <w:rPr>
        <w:rFonts w:hint="default"/>
        <w:lang w:val="it-IT" w:eastAsia="en-US" w:bidi="ar-SA"/>
      </w:rPr>
    </w:lvl>
    <w:lvl w:ilvl="3" w:tplc="57B059D4">
      <w:numFmt w:val="bullet"/>
      <w:lvlText w:val="•"/>
      <w:lvlJc w:val="left"/>
      <w:pPr>
        <w:ind w:left="3665" w:hanging="360"/>
      </w:pPr>
      <w:rPr>
        <w:rFonts w:hint="default"/>
        <w:lang w:val="it-IT" w:eastAsia="en-US" w:bidi="ar-SA"/>
      </w:rPr>
    </w:lvl>
    <w:lvl w:ilvl="4" w:tplc="B1160964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A7304548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3E4AFA1E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7" w:tplc="1E2A9D32">
      <w:numFmt w:val="bullet"/>
      <w:lvlText w:val="•"/>
      <w:lvlJc w:val="left"/>
      <w:pPr>
        <w:ind w:left="7405" w:hanging="360"/>
      </w:pPr>
      <w:rPr>
        <w:rFonts w:hint="default"/>
        <w:lang w:val="it-IT" w:eastAsia="en-US" w:bidi="ar-SA"/>
      </w:rPr>
    </w:lvl>
    <w:lvl w:ilvl="8" w:tplc="F656C3B0">
      <w:numFmt w:val="bullet"/>
      <w:lvlText w:val="•"/>
      <w:lvlJc w:val="left"/>
      <w:pPr>
        <w:ind w:left="8340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6D7D2997"/>
    <w:multiLevelType w:val="multilevel"/>
    <w:tmpl w:val="8DC0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963A15"/>
    <w:multiLevelType w:val="multilevel"/>
    <w:tmpl w:val="D6D2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FF3BEE"/>
    <w:multiLevelType w:val="multilevel"/>
    <w:tmpl w:val="AE58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3968BD"/>
    <w:multiLevelType w:val="multilevel"/>
    <w:tmpl w:val="ADE8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555333"/>
    <w:multiLevelType w:val="multilevel"/>
    <w:tmpl w:val="3462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2B35A8"/>
    <w:multiLevelType w:val="multilevel"/>
    <w:tmpl w:val="3884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8E45F9"/>
    <w:multiLevelType w:val="multilevel"/>
    <w:tmpl w:val="2C48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2"/>
  </w:num>
  <w:num w:numId="3">
    <w:abstractNumId w:val="34"/>
  </w:num>
  <w:num w:numId="4">
    <w:abstractNumId w:val="35"/>
  </w:num>
  <w:num w:numId="5">
    <w:abstractNumId w:val="10"/>
  </w:num>
  <w:num w:numId="6">
    <w:abstractNumId w:val="22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  <w:num w:numId="11">
    <w:abstractNumId w:val="28"/>
  </w:num>
  <w:num w:numId="12">
    <w:abstractNumId w:val="45"/>
  </w:num>
  <w:num w:numId="13">
    <w:abstractNumId w:val="37"/>
  </w:num>
  <w:num w:numId="14">
    <w:abstractNumId w:val="3"/>
  </w:num>
  <w:num w:numId="15">
    <w:abstractNumId w:val="30"/>
  </w:num>
  <w:num w:numId="16">
    <w:abstractNumId w:val="20"/>
  </w:num>
  <w:num w:numId="17">
    <w:abstractNumId w:val="12"/>
  </w:num>
  <w:num w:numId="18">
    <w:abstractNumId w:val="43"/>
  </w:num>
  <w:num w:numId="19">
    <w:abstractNumId w:val="24"/>
  </w:num>
  <w:num w:numId="20">
    <w:abstractNumId w:val="42"/>
  </w:num>
  <w:num w:numId="21">
    <w:abstractNumId w:val="40"/>
  </w:num>
  <w:num w:numId="22">
    <w:abstractNumId w:val="23"/>
  </w:num>
  <w:num w:numId="23">
    <w:abstractNumId w:val="13"/>
  </w:num>
  <w:num w:numId="24">
    <w:abstractNumId w:val="36"/>
  </w:num>
  <w:num w:numId="25">
    <w:abstractNumId w:val="15"/>
  </w:num>
  <w:num w:numId="26">
    <w:abstractNumId w:val="16"/>
  </w:num>
  <w:num w:numId="27">
    <w:abstractNumId w:val="27"/>
  </w:num>
  <w:num w:numId="28">
    <w:abstractNumId w:val="25"/>
  </w:num>
  <w:num w:numId="29">
    <w:abstractNumId w:val="9"/>
  </w:num>
  <w:num w:numId="30">
    <w:abstractNumId w:val="38"/>
  </w:num>
  <w:num w:numId="31">
    <w:abstractNumId w:val="26"/>
  </w:num>
  <w:num w:numId="32">
    <w:abstractNumId w:val="31"/>
  </w:num>
  <w:num w:numId="33">
    <w:abstractNumId w:val="4"/>
  </w:num>
  <w:num w:numId="34">
    <w:abstractNumId w:val="21"/>
  </w:num>
  <w:num w:numId="35">
    <w:abstractNumId w:val="11"/>
  </w:num>
  <w:num w:numId="36">
    <w:abstractNumId w:val="5"/>
  </w:num>
  <w:num w:numId="37">
    <w:abstractNumId w:val="39"/>
  </w:num>
  <w:num w:numId="38">
    <w:abstractNumId w:val="41"/>
  </w:num>
  <w:num w:numId="39">
    <w:abstractNumId w:val="17"/>
  </w:num>
  <w:num w:numId="40">
    <w:abstractNumId w:val="19"/>
  </w:num>
  <w:num w:numId="41">
    <w:abstractNumId w:val="18"/>
  </w:num>
  <w:num w:numId="42">
    <w:abstractNumId w:val="29"/>
  </w:num>
  <w:num w:numId="43">
    <w:abstractNumId w:val="33"/>
  </w:num>
  <w:num w:numId="44">
    <w:abstractNumId w:val="0"/>
  </w:num>
  <w:num w:numId="45">
    <w:abstractNumId w:val="44"/>
  </w:num>
  <w:num w:numId="46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BD2"/>
    <w:rsid w:val="0000352E"/>
    <w:rsid w:val="0000699E"/>
    <w:rsid w:val="0001779F"/>
    <w:rsid w:val="00023057"/>
    <w:rsid w:val="0004291C"/>
    <w:rsid w:val="00064049"/>
    <w:rsid w:val="00070F6C"/>
    <w:rsid w:val="000734B2"/>
    <w:rsid w:val="00080EA6"/>
    <w:rsid w:val="00085B6F"/>
    <w:rsid w:val="000914A4"/>
    <w:rsid w:val="00095D03"/>
    <w:rsid w:val="000D5CD1"/>
    <w:rsid w:val="000D74CE"/>
    <w:rsid w:val="000F4EDC"/>
    <w:rsid w:val="000F71AE"/>
    <w:rsid w:val="001007FE"/>
    <w:rsid w:val="00102DC1"/>
    <w:rsid w:val="0010520C"/>
    <w:rsid w:val="00112A63"/>
    <w:rsid w:val="00113697"/>
    <w:rsid w:val="00115D83"/>
    <w:rsid w:val="00122B8C"/>
    <w:rsid w:val="00144B48"/>
    <w:rsid w:val="0015017D"/>
    <w:rsid w:val="00170876"/>
    <w:rsid w:val="00174F33"/>
    <w:rsid w:val="0018145A"/>
    <w:rsid w:val="0018164F"/>
    <w:rsid w:val="001B11E1"/>
    <w:rsid w:val="001D7F1B"/>
    <w:rsid w:val="001E13F8"/>
    <w:rsid w:val="001F02D4"/>
    <w:rsid w:val="00201A73"/>
    <w:rsid w:val="00217988"/>
    <w:rsid w:val="002236AC"/>
    <w:rsid w:val="00233C2B"/>
    <w:rsid w:val="00242E77"/>
    <w:rsid w:val="002530FB"/>
    <w:rsid w:val="00254925"/>
    <w:rsid w:val="00260BD9"/>
    <w:rsid w:val="00272701"/>
    <w:rsid w:val="002A3BB6"/>
    <w:rsid w:val="002C19C1"/>
    <w:rsid w:val="002C63F4"/>
    <w:rsid w:val="002D1D7D"/>
    <w:rsid w:val="002E50DF"/>
    <w:rsid w:val="002E5631"/>
    <w:rsid w:val="002F3E4C"/>
    <w:rsid w:val="00304FB7"/>
    <w:rsid w:val="003222EC"/>
    <w:rsid w:val="003413B3"/>
    <w:rsid w:val="00342CD7"/>
    <w:rsid w:val="00345423"/>
    <w:rsid w:val="0036662C"/>
    <w:rsid w:val="003728B2"/>
    <w:rsid w:val="0037551E"/>
    <w:rsid w:val="00391A95"/>
    <w:rsid w:val="00393FB9"/>
    <w:rsid w:val="003A01EF"/>
    <w:rsid w:val="003A5BDC"/>
    <w:rsid w:val="003B32BB"/>
    <w:rsid w:val="003C09C7"/>
    <w:rsid w:val="003C18F5"/>
    <w:rsid w:val="003E6868"/>
    <w:rsid w:val="003E7BE8"/>
    <w:rsid w:val="00404497"/>
    <w:rsid w:val="00404EA3"/>
    <w:rsid w:val="004163D7"/>
    <w:rsid w:val="004201E5"/>
    <w:rsid w:val="004212F0"/>
    <w:rsid w:val="004269D6"/>
    <w:rsid w:val="004349E4"/>
    <w:rsid w:val="00437053"/>
    <w:rsid w:val="00476246"/>
    <w:rsid w:val="00482804"/>
    <w:rsid w:val="004846C9"/>
    <w:rsid w:val="00492705"/>
    <w:rsid w:val="004A0A60"/>
    <w:rsid w:val="004A6261"/>
    <w:rsid w:val="004C24BE"/>
    <w:rsid w:val="004C3AA6"/>
    <w:rsid w:val="004C76F1"/>
    <w:rsid w:val="00500C4D"/>
    <w:rsid w:val="00502B3C"/>
    <w:rsid w:val="005067AB"/>
    <w:rsid w:val="00512FF8"/>
    <w:rsid w:val="005162DA"/>
    <w:rsid w:val="005323A1"/>
    <w:rsid w:val="005550C3"/>
    <w:rsid w:val="00564956"/>
    <w:rsid w:val="00565AD7"/>
    <w:rsid w:val="00572589"/>
    <w:rsid w:val="005810A9"/>
    <w:rsid w:val="00584543"/>
    <w:rsid w:val="005A000C"/>
    <w:rsid w:val="005A1661"/>
    <w:rsid w:val="005A51B7"/>
    <w:rsid w:val="005C2347"/>
    <w:rsid w:val="005C2914"/>
    <w:rsid w:val="005C6975"/>
    <w:rsid w:val="005F070A"/>
    <w:rsid w:val="005F7117"/>
    <w:rsid w:val="00617624"/>
    <w:rsid w:val="006235A7"/>
    <w:rsid w:val="006245D9"/>
    <w:rsid w:val="00632C06"/>
    <w:rsid w:val="00633657"/>
    <w:rsid w:val="00637CAB"/>
    <w:rsid w:val="006650AF"/>
    <w:rsid w:val="00671A5A"/>
    <w:rsid w:val="006729F8"/>
    <w:rsid w:val="00680196"/>
    <w:rsid w:val="00685515"/>
    <w:rsid w:val="00696B79"/>
    <w:rsid w:val="00697C68"/>
    <w:rsid w:val="006A0E48"/>
    <w:rsid w:val="006C73C5"/>
    <w:rsid w:val="006E122C"/>
    <w:rsid w:val="006F4972"/>
    <w:rsid w:val="00701D75"/>
    <w:rsid w:val="00712262"/>
    <w:rsid w:val="00724722"/>
    <w:rsid w:val="007739AE"/>
    <w:rsid w:val="007801F6"/>
    <w:rsid w:val="0078369B"/>
    <w:rsid w:val="00787DCD"/>
    <w:rsid w:val="007A75EF"/>
    <w:rsid w:val="007A77F2"/>
    <w:rsid w:val="007A7944"/>
    <w:rsid w:val="007B65BA"/>
    <w:rsid w:val="007C58E0"/>
    <w:rsid w:val="008423ED"/>
    <w:rsid w:val="00853B1A"/>
    <w:rsid w:val="008555BE"/>
    <w:rsid w:val="00855EFA"/>
    <w:rsid w:val="0087185A"/>
    <w:rsid w:val="00871A2C"/>
    <w:rsid w:val="00874C52"/>
    <w:rsid w:val="00877D23"/>
    <w:rsid w:val="00885307"/>
    <w:rsid w:val="00885EBA"/>
    <w:rsid w:val="008B6E62"/>
    <w:rsid w:val="008C6C0A"/>
    <w:rsid w:val="008E7923"/>
    <w:rsid w:val="00900D4B"/>
    <w:rsid w:val="009255B0"/>
    <w:rsid w:val="0093718D"/>
    <w:rsid w:val="00937788"/>
    <w:rsid w:val="009517DA"/>
    <w:rsid w:val="00964E9D"/>
    <w:rsid w:val="00976026"/>
    <w:rsid w:val="009A0F4B"/>
    <w:rsid w:val="009B3FF8"/>
    <w:rsid w:val="009C1F31"/>
    <w:rsid w:val="009E00C2"/>
    <w:rsid w:val="009E5896"/>
    <w:rsid w:val="009F19F4"/>
    <w:rsid w:val="009F36F5"/>
    <w:rsid w:val="00A07A91"/>
    <w:rsid w:val="00A30031"/>
    <w:rsid w:val="00A336E7"/>
    <w:rsid w:val="00A351AA"/>
    <w:rsid w:val="00A53383"/>
    <w:rsid w:val="00A6340C"/>
    <w:rsid w:val="00A77154"/>
    <w:rsid w:val="00AA2630"/>
    <w:rsid w:val="00AA38BF"/>
    <w:rsid w:val="00AA7479"/>
    <w:rsid w:val="00AB2EA2"/>
    <w:rsid w:val="00AC0304"/>
    <w:rsid w:val="00AF5E2C"/>
    <w:rsid w:val="00B21B7B"/>
    <w:rsid w:val="00B51448"/>
    <w:rsid w:val="00B63AD7"/>
    <w:rsid w:val="00B708E5"/>
    <w:rsid w:val="00B74118"/>
    <w:rsid w:val="00BA2809"/>
    <w:rsid w:val="00BB08D1"/>
    <w:rsid w:val="00BB1A07"/>
    <w:rsid w:val="00BB4E73"/>
    <w:rsid w:val="00BB796F"/>
    <w:rsid w:val="00BE01F9"/>
    <w:rsid w:val="00BE2298"/>
    <w:rsid w:val="00C22131"/>
    <w:rsid w:val="00C308CF"/>
    <w:rsid w:val="00C36239"/>
    <w:rsid w:val="00C42E3E"/>
    <w:rsid w:val="00C646CA"/>
    <w:rsid w:val="00C649EB"/>
    <w:rsid w:val="00C821ED"/>
    <w:rsid w:val="00C832FD"/>
    <w:rsid w:val="00C838DA"/>
    <w:rsid w:val="00C9144D"/>
    <w:rsid w:val="00C939B2"/>
    <w:rsid w:val="00CA1044"/>
    <w:rsid w:val="00CB5733"/>
    <w:rsid w:val="00CC3BBF"/>
    <w:rsid w:val="00CD70F7"/>
    <w:rsid w:val="00CE3F3D"/>
    <w:rsid w:val="00CE4A27"/>
    <w:rsid w:val="00CF174A"/>
    <w:rsid w:val="00D01795"/>
    <w:rsid w:val="00D03746"/>
    <w:rsid w:val="00D13BCB"/>
    <w:rsid w:val="00D17304"/>
    <w:rsid w:val="00D249F4"/>
    <w:rsid w:val="00D41CE5"/>
    <w:rsid w:val="00D57EB1"/>
    <w:rsid w:val="00D61ED1"/>
    <w:rsid w:val="00D6383A"/>
    <w:rsid w:val="00D75349"/>
    <w:rsid w:val="00D774C5"/>
    <w:rsid w:val="00DA6784"/>
    <w:rsid w:val="00DB1900"/>
    <w:rsid w:val="00DD37D2"/>
    <w:rsid w:val="00DF4D08"/>
    <w:rsid w:val="00E01257"/>
    <w:rsid w:val="00E20B33"/>
    <w:rsid w:val="00E57227"/>
    <w:rsid w:val="00E62972"/>
    <w:rsid w:val="00E74B92"/>
    <w:rsid w:val="00E942A2"/>
    <w:rsid w:val="00EA6345"/>
    <w:rsid w:val="00EB68E2"/>
    <w:rsid w:val="00ED430E"/>
    <w:rsid w:val="00F066AE"/>
    <w:rsid w:val="00F35EEB"/>
    <w:rsid w:val="00F74468"/>
    <w:rsid w:val="00F80365"/>
    <w:rsid w:val="00F93584"/>
    <w:rsid w:val="00F943B0"/>
    <w:rsid w:val="00FB3504"/>
    <w:rsid w:val="00FB3BDF"/>
    <w:rsid w:val="00FB5825"/>
    <w:rsid w:val="00FD7603"/>
    <w:rsid w:val="00FE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FD3C2"/>
  <w15:docId w15:val="{E146BF40-DE27-45CC-A21E-725A8021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23ED"/>
  </w:style>
  <w:style w:type="paragraph" w:styleId="Titolo1">
    <w:name w:val="heading 1"/>
    <w:basedOn w:val="Normale"/>
    <w:next w:val="Normale"/>
    <w:link w:val="Titolo1Carattere"/>
    <w:uiPriority w:val="9"/>
    <w:qFormat/>
    <w:rsid w:val="00A634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634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634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5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5BD2"/>
  </w:style>
  <w:style w:type="paragraph" w:styleId="Pidipagina">
    <w:name w:val="footer"/>
    <w:basedOn w:val="Normale"/>
    <w:link w:val="PidipaginaCarattere"/>
    <w:uiPriority w:val="99"/>
    <w:unhideWhenUsed/>
    <w:rsid w:val="00FE5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5B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5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5BD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E5BD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7C58E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67AB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634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634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6340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Puntoelenco">
    <w:name w:val="List Bullet"/>
    <w:basedOn w:val="Normale"/>
    <w:uiPriority w:val="99"/>
    <w:unhideWhenUsed/>
    <w:rsid w:val="00A6340C"/>
    <w:pPr>
      <w:numPr>
        <w:numId w:val="1"/>
      </w:numPr>
      <w:contextualSpacing/>
    </w:pPr>
    <w:rPr>
      <w:rFonts w:eastAsiaTheme="minorEastAsia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163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163D7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5017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25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914A4"/>
    <w:rPr>
      <w:b/>
      <w:bCs/>
    </w:rPr>
  </w:style>
  <w:style w:type="character" w:styleId="Enfasicorsivo">
    <w:name w:val="Emphasis"/>
    <w:basedOn w:val="Carpredefinitoparagrafo"/>
    <w:uiPriority w:val="20"/>
    <w:qFormat/>
    <w:rsid w:val="0036662C"/>
    <w:rPr>
      <w:i/>
      <w:iCs/>
    </w:rPr>
  </w:style>
  <w:style w:type="character" w:customStyle="1" w:styleId="max-w-full">
    <w:name w:val="max-w-full"/>
    <w:basedOn w:val="Carpredefinitoparagrafo"/>
    <w:rsid w:val="0036662C"/>
  </w:style>
  <w:style w:type="paragraph" w:styleId="Nessunaspaziatura">
    <w:name w:val="No Spacing"/>
    <w:uiPriority w:val="1"/>
    <w:qFormat/>
    <w:rsid w:val="0036662C"/>
    <w:pPr>
      <w:spacing w:after="0" w:line="240" w:lineRule="auto"/>
    </w:pPr>
  </w:style>
  <w:style w:type="character" w:customStyle="1" w:styleId="katex-mathml">
    <w:name w:val="katex-mathml"/>
    <w:basedOn w:val="Carpredefinitoparagrafo"/>
    <w:rsid w:val="0036662C"/>
  </w:style>
  <w:style w:type="character" w:customStyle="1" w:styleId="mord">
    <w:name w:val="mord"/>
    <w:basedOn w:val="Carpredefinitoparagrafo"/>
    <w:rsid w:val="0036662C"/>
  </w:style>
  <w:style w:type="character" w:customStyle="1" w:styleId="mrel">
    <w:name w:val="mrel"/>
    <w:basedOn w:val="Carpredefinitoparagrafo"/>
    <w:rsid w:val="0036662C"/>
  </w:style>
  <w:style w:type="character" w:customStyle="1" w:styleId="mpunct">
    <w:name w:val="mpunct"/>
    <w:basedOn w:val="Carpredefinitoparagrafo"/>
    <w:rsid w:val="0036662C"/>
  </w:style>
  <w:style w:type="character" w:customStyle="1" w:styleId="vlist-s">
    <w:name w:val="vlist-s"/>
    <w:basedOn w:val="Carpredefinitoparagrafo"/>
    <w:rsid w:val="0036662C"/>
  </w:style>
  <w:style w:type="paragraph" w:customStyle="1" w:styleId="TableParagraph">
    <w:name w:val="Table Paragraph"/>
    <w:basedOn w:val="Normale"/>
    <w:uiPriority w:val="1"/>
    <w:qFormat/>
    <w:rsid w:val="00366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ms-1">
    <w:name w:val="ms-1"/>
    <w:basedOn w:val="Carpredefinitoparagrafo"/>
    <w:rsid w:val="00B708E5"/>
  </w:style>
  <w:style w:type="paragraph" w:customStyle="1" w:styleId="Default">
    <w:name w:val="Default"/>
    <w:rsid w:val="001814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Normale"/>
    <w:rsid w:val="00D03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elative">
    <w:name w:val="relative"/>
    <w:basedOn w:val="Carpredefinitoparagrafo"/>
    <w:rsid w:val="00492705"/>
  </w:style>
  <w:style w:type="paragraph" w:customStyle="1" w:styleId="not-prose">
    <w:name w:val="not-prose"/>
    <w:basedOn w:val="Normale"/>
    <w:rsid w:val="0049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FirstParagraph">
    <w:name w:val="First Paragraph"/>
    <w:basedOn w:val="Corpotesto"/>
    <w:next w:val="Corpotesto"/>
    <w:qFormat/>
    <w:rsid w:val="00C9144D"/>
    <w:pPr>
      <w:widowControl/>
      <w:autoSpaceDE/>
      <w:autoSpaceDN/>
      <w:spacing w:before="180" w:after="180"/>
    </w:pPr>
    <w:rPr>
      <w:rFonts w:asciiTheme="minorHAnsi" w:eastAsiaTheme="minorHAnsi" w:hAnsiTheme="minorHAnsi" w:cstheme="minorBidi"/>
      <w:lang w:val="it"/>
    </w:rPr>
  </w:style>
  <w:style w:type="paragraph" w:customStyle="1" w:styleId="Compact">
    <w:name w:val="Compact"/>
    <w:basedOn w:val="Corpotesto"/>
    <w:qFormat/>
    <w:rsid w:val="00C9144D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lang w:val="it"/>
    </w:rPr>
  </w:style>
  <w:style w:type="table" w:customStyle="1" w:styleId="Table">
    <w:name w:val="Table"/>
    <w:semiHidden/>
    <w:unhideWhenUsed/>
    <w:qFormat/>
    <w:rsid w:val="00C9144D"/>
    <w:pPr>
      <w:spacing w:line="240" w:lineRule="auto"/>
    </w:pPr>
    <w:rPr>
      <w:sz w:val="24"/>
      <w:szCs w:val="24"/>
      <w:lang w:val="it"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pdq2pgselectionanchorcontainer">
    <w:name w:val="pdq2pg_selectionanchorcontainer"/>
    <w:basedOn w:val="Normale"/>
    <w:rsid w:val="00937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ocTitle">
    <w:name w:val="DocTitle"/>
    <w:rsid w:val="004212F0"/>
    <w:pPr>
      <w:keepNext/>
      <w:suppressAutoHyphens/>
      <w:spacing w:after="100" w:line="240" w:lineRule="auto"/>
      <w:jc w:val="center"/>
    </w:pPr>
    <w:rPr>
      <w:rFonts w:ascii="Times New Roman" w:eastAsia="Times New Roman" w:hAnsi="Times New Roman" w:cs="Lohit Devanagari"/>
      <w:b/>
      <w:sz w:val="28"/>
      <w:szCs w:val="24"/>
      <w:lang w:val="en-US" w:eastAsia="zh-CN" w:bidi="hi-IN"/>
    </w:rPr>
  </w:style>
  <w:style w:type="paragraph" w:customStyle="1" w:styleId="RelHead">
    <w:name w:val="RelHead"/>
    <w:rsid w:val="004212F0"/>
    <w:pPr>
      <w:keepNext/>
      <w:suppressAutoHyphens/>
      <w:spacing w:before="200" w:after="80" w:line="240" w:lineRule="auto"/>
    </w:pPr>
    <w:rPr>
      <w:rFonts w:ascii="Times New Roman" w:eastAsia="Times New Roman" w:hAnsi="Times New Roman" w:cs="Lohit Devanagari"/>
      <w:b/>
      <w:sz w:val="21"/>
      <w:szCs w:val="24"/>
      <w:lang w:val="en-US" w:eastAsia="zh-C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796F"/>
    <w:pP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13E4D"/>
      <w:spacing w:val="5"/>
      <w:kern w:val="28"/>
      <w:sz w:val="50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BB796F"/>
    <w:rPr>
      <w:rFonts w:asciiTheme="majorHAnsi" w:eastAsiaTheme="majorEastAsia" w:hAnsiTheme="majorHAnsi" w:cstheme="majorBidi"/>
      <w:b/>
      <w:color w:val="213E4D"/>
      <w:spacing w:val="5"/>
      <w:kern w:val="28"/>
      <w:sz w:val="50"/>
      <w:szCs w:val="52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796F"/>
    <w:pPr>
      <w:numPr>
        <w:ilvl w:val="1"/>
      </w:numPr>
      <w:spacing w:after="140" w:line="259" w:lineRule="auto"/>
    </w:pPr>
    <w:rPr>
      <w:rFonts w:asciiTheme="majorHAnsi" w:eastAsiaTheme="majorEastAsia" w:hAnsiTheme="majorHAnsi" w:cstheme="majorBidi"/>
      <w:iCs/>
      <w:color w:val="53616A"/>
      <w:spacing w:val="15"/>
      <w:sz w:val="24"/>
      <w:szCs w:val="24"/>
      <w:lang w:val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796F"/>
    <w:rPr>
      <w:rFonts w:asciiTheme="majorHAnsi" w:eastAsiaTheme="majorEastAsia" w:hAnsiTheme="majorHAnsi" w:cstheme="majorBidi"/>
      <w:iCs/>
      <w:color w:val="53616A"/>
      <w:spacing w:val="15"/>
      <w:sz w:val="24"/>
      <w:szCs w:val="24"/>
      <w:lang w:val="en-US"/>
    </w:rPr>
  </w:style>
  <w:style w:type="paragraph" w:styleId="Numeroelenco">
    <w:name w:val="List Number"/>
    <w:basedOn w:val="Normale"/>
    <w:uiPriority w:val="99"/>
    <w:unhideWhenUsed/>
    <w:rsid w:val="00095D03"/>
    <w:pPr>
      <w:numPr>
        <w:numId w:val="44"/>
      </w:numPr>
      <w:spacing w:after="100" w:line="259" w:lineRule="auto"/>
      <w:contextualSpacing/>
    </w:pPr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90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5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caivano@asmepec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Pompeo Esposito</dc:creator>
  <cp:lastModifiedBy>Caivano</cp:lastModifiedBy>
  <cp:revision>2</cp:revision>
  <cp:lastPrinted>2026-07-18T14:30:00Z</cp:lastPrinted>
  <dcterms:created xsi:type="dcterms:W3CDTF">2026-09-19T14:06:00Z</dcterms:created>
  <dcterms:modified xsi:type="dcterms:W3CDTF">2026-09-19T14:06:00Z</dcterms:modified>
</cp:coreProperties>
</file>